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3" w:type="dxa"/>
        <w:tblLayout w:type="fixed"/>
        <w:tblLook w:val="0000" w:firstRow="0" w:lastRow="0" w:firstColumn="0" w:lastColumn="0" w:noHBand="0" w:noVBand="0"/>
      </w:tblPr>
      <w:tblGrid>
        <w:gridCol w:w="3860"/>
        <w:gridCol w:w="5653"/>
      </w:tblGrid>
      <w:tr w:rsidR="00107207">
        <w:trPr>
          <w:trHeight w:val="1522"/>
        </w:trPr>
        <w:tc>
          <w:tcPr>
            <w:tcW w:w="3860" w:type="dxa"/>
          </w:tcPr>
          <w:p w:rsidR="00107207" w:rsidRDefault="003E0D1A">
            <w:pPr>
              <w:jc w:val="center"/>
              <w:rPr>
                <w:b/>
                <w:sz w:val="26"/>
              </w:rPr>
            </w:pPr>
            <w:r>
              <w:rPr>
                <w:b/>
                <w:sz w:val="26"/>
              </w:rPr>
              <w:t xml:space="preserve">UỶ BAN NHÂN DÂN </w:t>
            </w:r>
          </w:p>
          <w:p w:rsidR="00107207" w:rsidRDefault="003E0D1A">
            <w:pPr>
              <w:jc w:val="center"/>
              <w:rPr>
                <w:b/>
                <w:sz w:val="26"/>
              </w:rPr>
            </w:pPr>
            <w:r>
              <w:rPr>
                <w:b/>
                <w:sz w:val="26"/>
              </w:rPr>
              <w:t>TỈNH HÀ TĨNH</w:t>
            </w:r>
          </w:p>
          <w:p w:rsidR="00107207" w:rsidRDefault="003E0D1A">
            <w:pPr>
              <w:jc w:val="center"/>
              <w:rPr>
                <w:sz w:val="26"/>
              </w:rPr>
            </w:pPr>
            <w:r>
              <w:rPr>
                <w:sz w:val="26"/>
              </w:rPr>
              <w:tab/>
            </w:r>
            <w:r>
              <w:rPr>
                <w:sz w:val="26"/>
              </w:rPr>
              <w:tab/>
            </w:r>
            <w:r>
              <w:rPr>
                <w:b/>
                <w:noProof/>
                <w:sz w:val="26"/>
              </w:rPr>
              <mc:AlternateContent>
                <mc:Choice Requires="wps">
                  <w:drawing>
                    <wp:anchor distT="0" distB="0" distL="114300" distR="114300" simplePos="0" relativeHeight="251657216" behindDoc="0" locked="0" layoutInCell="1" allowOverlap="1">
                      <wp:simplePos x="0" y="0"/>
                      <wp:positionH relativeFrom="column">
                        <wp:posOffset>817880</wp:posOffset>
                      </wp:positionH>
                      <wp:positionV relativeFrom="paragraph">
                        <wp:posOffset>50165</wp:posOffset>
                      </wp:positionV>
                      <wp:extent cx="622300" cy="0"/>
                      <wp:effectExtent l="8255" t="12065" r="7620" b="698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43F94E"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3.95pt" to="113.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"/>
                  </w:pict>
                </mc:Fallback>
              </mc:AlternateContent>
            </w:r>
          </w:p>
          <w:p w:rsidR="00107207" w:rsidRDefault="003E0D1A">
            <w:pPr>
              <w:tabs>
                <w:tab w:val="left" w:pos="435"/>
                <w:tab w:val="center" w:pos="1822"/>
              </w:tabs>
              <w:jc w:val="center"/>
              <w:rPr>
                <w:sz w:val="26"/>
                <w:szCs w:val="26"/>
              </w:rPr>
            </w:pPr>
            <w:r>
              <w:rPr>
                <w:sz w:val="26"/>
                <w:szCs w:val="26"/>
              </w:rPr>
              <w:t>Số            /TTr-UBND</w:t>
            </w:r>
          </w:p>
        </w:tc>
        <w:tc>
          <w:tcPr>
            <w:tcW w:w="5653" w:type="dxa"/>
          </w:tcPr>
          <w:p w:rsidR="00107207" w:rsidRDefault="003E0D1A">
            <w:pPr>
              <w:pStyle w:val="Heading3"/>
              <w:jc w:val="center"/>
              <w:rPr>
                <w:rFonts w:ascii="Times New Roman" w:hAnsi="Times New Roman"/>
                <w:sz w:val="26"/>
                <w:szCs w:val="28"/>
              </w:rPr>
            </w:pPr>
            <w:r>
              <w:rPr>
                <w:rFonts w:ascii="Times New Roman" w:hAnsi="Times New Roman"/>
                <w:sz w:val="26"/>
                <w:szCs w:val="28"/>
              </w:rPr>
              <w:t>CỘNG HOÀ XÃ HỘI CHỦ NGHĨA VIỆT NAM</w:t>
            </w:r>
          </w:p>
          <w:p w:rsidR="00107207" w:rsidRDefault="003E0D1A">
            <w:pPr>
              <w:pStyle w:val="Heading3"/>
              <w:jc w:val="center"/>
              <w:rPr>
                <w:rFonts w:ascii="Times New Roman" w:hAnsi="Times New Roman"/>
                <w:szCs w:val="28"/>
              </w:rPr>
            </w:pPr>
            <w:r>
              <w:rPr>
                <w:rFonts w:ascii="Times New Roman" w:hAnsi="Times New Roman"/>
                <w:szCs w:val="28"/>
              </w:rPr>
              <w:t>Độc lập - Tự do - Hạnh phúc</w:t>
            </w:r>
          </w:p>
          <w:p w:rsidR="00107207" w:rsidRDefault="003E0D1A">
            <w:pPr>
              <w:pStyle w:val="Footer"/>
              <w:tabs>
                <w:tab w:val="clear" w:pos="4320"/>
                <w:tab w:val="clear" w:pos="8640"/>
              </w:tabs>
            </w:pPr>
            <w:r>
              <w:rPr>
                <w:noProof/>
              </w:rPr>
              <mc:AlternateContent>
                <mc:Choice Requires="wps">
                  <w:drawing>
                    <wp:anchor distT="0" distB="0" distL="114300" distR="114300" simplePos="0" relativeHeight="251656192" behindDoc="0" locked="0" layoutInCell="1" allowOverlap="1">
                      <wp:simplePos x="0" y="0"/>
                      <wp:positionH relativeFrom="column">
                        <wp:posOffset>666750</wp:posOffset>
                      </wp:positionH>
                      <wp:positionV relativeFrom="paragraph">
                        <wp:posOffset>38735</wp:posOffset>
                      </wp:positionV>
                      <wp:extent cx="2133600" cy="0"/>
                      <wp:effectExtent l="9525" t="10160" r="9525"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F4552C"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3.05pt" to="22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"/>
                  </w:pict>
                </mc:Fallback>
              </mc:AlternateContent>
            </w:r>
          </w:p>
          <w:p w:rsidR="00107207" w:rsidRDefault="003E0D1A">
            <w:pPr>
              <w:jc w:val="center"/>
              <w:rPr>
                <w:i/>
                <w:sz w:val="28"/>
                <w:szCs w:val="28"/>
              </w:rPr>
            </w:pPr>
            <w:r>
              <w:rPr>
                <w:i/>
                <w:sz w:val="28"/>
                <w:szCs w:val="28"/>
              </w:rPr>
              <w:t xml:space="preserve">     Hà Tĩnh, ngày        tháng        năm 2025</w:t>
            </w:r>
          </w:p>
        </w:tc>
      </w:tr>
    </w:tbl>
    <w:p w:rsidR="00107207" w:rsidRDefault="00107207">
      <w:pPr>
        <w:jc w:val="center"/>
        <w:rPr>
          <w:b/>
          <w:sz w:val="8"/>
          <w:szCs w:val="28"/>
        </w:rPr>
      </w:pPr>
    </w:p>
    <w:p w:rsidR="00107207" w:rsidRDefault="00107207">
      <w:pPr>
        <w:rPr>
          <w:b/>
          <w:sz w:val="8"/>
          <w:szCs w:val="28"/>
        </w:rPr>
      </w:pPr>
    </w:p>
    <w:p w:rsidR="00107207" w:rsidRDefault="00107207">
      <w:pPr>
        <w:rPr>
          <w:b/>
          <w:sz w:val="2"/>
          <w:szCs w:val="28"/>
        </w:rPr>
      </w:pPr>
    </w:p>
    <w:p w:rsidR="00107207" w:rsidRDefault="00107207">
      <w:pPr>
        <w:jc w:val="center"/>
        <w:rPr>
          <w:b/>
          <w:sz w:val="28"/>
          <w:szCs w:val="28"/>
        </w:rPr>
      </w:pPr>
    </w:p>
    <w:p w:rsidR="00107207" w:rsidRDefault="003E0D1A">
      <w:pPr>
        <w:jc w:val="center"/>
        <w:rPr>
          <w:b/>
          <w:sz w:val="28"/>
          <w:szCs w:val="28"/>
        </w:rPr>
      </w:pPr>
      <w:r>
        <w:rPr>
          <w:b/>
          <w:sz w:val="28"/>
          <w:szCs w:val="28"/>
        </w:rPr>
        <w:t>TỜ TRÌNH</w:t>
      </w:r>
    </w:p>
    <w:p w:rsidR="00107207" w:rsidRDefault="003E0D1A">
      <w:pPr>
        <w:jc w:val="center"/>
        <w:rPr>
          <w:b/>
          <w:bCs/>
          <w:sz w:val="28"/>
          <w:szCs w:val="28"/>
        </w:rPr>
      </w:pPr>
      <w:r>
        <w:rPr>
          <w:b/>
          <w:bCs/>
          <w:sz w:val="28"/>
          <w:szCs w:val="28"/>
        </w:rPr>
        <w:t xml:space="preserve">Về việc bổ sung, điều chỉnh kế hoạch vốn đầu tư phát triển nguồn ngân sách Trung ương </w:t>
      </w:r>
      <w:r>
        <w:rPr>
          <w:b/>
          <w:bCs/>
          <w:sz w:val="28"/>
          <w:szCs w:val="28"/>
          <w:lang w:val="nl-NL"/>
        </w:rPr>
        <w:t xml:space="preserve">giai đoạn 2022 - 2025 và phân bổ kế hoạch vốn năm 2025 </w:t>
      </w:r>
      <w:r>
        <w:rPr>
          <w:b/>
          <w:bCs/>
          <w:sz w:val="28"/>
          <w:szCs w:val="28"/>
        </w:rPr>
        <w:t xml:space="preserve">thực hiện các Chương trình mục tiêu quốc gia </w:t>
      </w:r>
    </w:p>
    <w:p w:rsidR="00107207" w:rsidRDefault="003E0D1A">
      <w:pPr>
        <w:jc w:val="center"/>
        <w:rPr>
          <w:sz w:val="28"/>
          <w:szCs w:val="28"/>
        </w:rPr>
      </w:pPr>
      <w:r>
        <w:rPr>
          <w:noProof/>
          <w:sz w:val="28"/>
          <w:szCs w:val="28"/>
        </w:rPr>
        <mc:AlternateContent>
          <mc:Choice Requires="wps">
            <w:drawing>
              <wp:anchor distT="0" distB="0" distL="114300" distR="114300" simplePos="0" relativeHeight="251658240" behindDoc="0" locked="0" layoutInCell="1" allowOverlap="1" wp14:anchorId="7232BFBC" wp14:editId="1FF28383">
                <wp:simplePos x="0" y="0"/>
                <wp:positionH relativeFrom="column">
                  <wp:posOffset>2363673</wp:posOffset>
                </wp:positionH>
                <wp:positionV relativeFrom="paragraph">
                  <wp:posOffset>54636</wp:posOffset>
                </wp:positionV>
                <wp:extent cx="10668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10E30A"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1pt,4.3pt" to="270.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"/>
            </w:pict>
          </mc:Fallback>
        </mc:AlternateContent>
      </w:r>
    </w:p>
    <w:p w:rsidR="00107207" w:rsidRDefault="00107207">
      <w:pPr>
        <w:spacing w:line="240" w:lineRule="atLeast"/>
        <w:jc w:val="center"/>
        <w:rPr>
          <w:b/>
          <w:sz w:val="26"/>
          <w:szCs w:val="28"/>
        </w:rPr>
      </w:pPr>
    </w:p>
    <w:p w:rsidR="00107207" w:rsidRDefault="003E0D1A">
      <w:pPr>
        <w:spacing w:line="240" w:lineRule="atLeast"/>
        <w:jc w:val="center"/>
        <w:rPr>
          <w:bCs/>
          <w:sz w:val="28"/>
          <w:szCs w:val="30"/>
        </w:rPr>
      </w:pPr>
      <w:r>
        <w:rPr>
          <w:bCs/>
          <w:sz w:val="28"/>
          <w:szCs w:val="30"/>
        </w:rPr>
        <w:t>Kính gửi: Hội đồng nhân dân tỉnh</w:t>
      </w:r>
    </w:p>
    <w:p w:rsidR="00107207" w:rsidRDefault="00107207">
      <w:pPr>
        <w:spacing w:line="240" w:lineRule="atLeast"/>
        <w:jc w:val="center"/>
        <w:rPr>
          <w:bCs/>
          <w:sz w:val="28"/>
          <w:szCs w:val="30"/>
        </w:rPr>
      </w:pPr>
    </w:p>
    <w:p w:rsidR="00107207" w:rsidRPr="007A65F2" w:rsidRDefault="003E0D1A">
      <w:pPr>
        <w:spacing w:before="60" w:after="60"/>
        <w:ind w:firstLine="709"/>
        <w:jc w:val="both"/>
        <w:rPr>
          <w:i/>
          <w:sz w:val="28"/>
          <w:szCs w:val="28"/>
          <w:lang w:val="nl-NL"/>
        </w:rPr>
      </w:pPr>
      <w:r w:rsidRPr="007A65F2">
        <w:rPr>
          <w:i/>
          <w:sz w:val="28"/>
          <w:szCs w:val="28"/>
          <w:lang w:val="nl-NL"/>
        </w:rPr>
        <w:t>Căn cứ Luật Tổ chức chính quyền địa phương ngày 16/6/2025;</w:t>
      </w:r>
    </w:p>
    <w:p w:rsidR="00107207" w:rsidRDefault="003E0D1A">
      <w:pPr>
        <w:widowControl w:val="0"/>
        <w:tabs>
          <w:tab w:val="left" w:pos="567"/>
        </w:tabs>
        <w:spacing w:before="120" w:line="240" w:lineRule="atLeast"/>
        <w:ind w:firstLine="709"/>
        <w:jc w:val="both"/>
        <w:rPr>
          <w:i/>
          <w:sz w:val="28"/>
          <w:szCs w:val="28"/>
          <w:lang w:val="nl-NL"/>
        </w:rPr>
      </w:pPr>
      <w:r>
        <w:rPr>
          <w:i/>
          <w:sz w:val="28"/>
          <w:szCs w:val="28"/>
          <w:lang w:val="nl-NL"/>
        </w:rPr>
        <w:t>Căn cứ Luật Ngân sách nhà nước ngày 25/6/2015; Luật Đầu tư công số 58/2024/QH15 ngày 29/11/2024;</w:t>
      </w:r>
    </w:p>
    <w:p w:rsidR="00107207" w:rsidRDefault="003E0D1A">
      <w:pPr>
        <w:widowControl w:val="0"/>
        <w:tabs>
          <w:tab w:val="left" w:pos="567"/>
        </w:tabs>
        <w:spacing w:before="120" w:line="240" w:lineRule="atLeast"/>
        <w:ind w:firstLine="709"/>
        <w:jc w:val="both"/>
        <w:rPr>
          <w:i/>
          <w:sz w:val="28"/>
          <w:szCs w:val="28"/>
          <w:lang w:val="nl-NL"/>
        </w:rPr>
      </w:pPr>
      <w:r>
        <w:rPr>
          <w:i/>
          <w:sz w:val="28"/>
          <w:szCs w:val="28"/>
          <w:lang w:val="nl-NL"/>
        </w:rPr>
        <w:t>Căn cứ Nghị định số 27/2022/NĐ-CP ngày 19/4/2022 quy định cơ chế quản lý, tổ chức thực hiện các chương trình mục tiêu quốc gia và Nghị định số 38/2023/NĐ-CP ngày 24/6/2023 của Chính phủ quy định sửa đổi, bổ sung một số điều Nghị định số 27/2022/NĐ-CP;</w:t>
      </w:r>
    </w:p>
    <w:p w:rsidR="00107207" w:rsidRDefault="002F5093" w:rsidP="002F5093">
      <w:pPr>
        <w:widowControl w:val="0"/>
        <w:tabs>
          <w:tab w:val="left" w:pos="567"/>
        </w:tabs>
        <w:spacing w:before="120" w:line="240" w:lineRule="atLeast"/>
        <w:ind w:firstLine="709"/>
        <w:jc w:val="both"/>
        <w:rPr>
          <w:i/>
          <w:sz w:val="28"/>
          <w:szCs w:val="28"/>
          <w:lang w:val="nl-NL"/>
        </w:rPr>
      </w:pPr>
      <w:r w:rsidRPr="002F5093">
        <w:rPr>
          <w:i/>
          <w:sz w:val="28"/>
          <w:szCs w:val="28"/>
          <w:lang w:val="nl-NL"/>
        </w:rPr>
        <w:t xml:space="preserve">Căn cứ các Nghị quyết của Hội đồng nhân dân tỉnh: số 75/2022/NQ-HĐND ngày 15/7/2022 về quy định nguyên tắc, tiêu chí, định mức, phân bổ ngân sách Nhà nước và tỷ lệ vốn đối ứng của ngân sách địa phương thực hiện Chương trình mục tiêu quốc gia xây dựng nông thôn mới giai đoạn 2022-2025; </w:t>
      </w:r>
      <w:r w:rsidRPr="002F5093">
        <w:rPr>
          <w:i/>
          <w:sz w:val="28"/>
          <w:szCs w:val="28"/>
        </w:rPr>
        <w:t xml:space="preserve">số 94/NQ-HĐND ngày 11/11/2022 của Hội đồng nhân dân tỉnh về phân bổ kế hoạch vốn đầu tư các công trình cấp nước sạch nông thôn tập trung từ nguồn vốn Chương trình MTQG xây dựng nông thôn mới giai đoạn 2022-2025 và năm 2022; </w:t>
      </w:r>
      <w:r w:rsidR="003E0D1A" w:rsidRPr="002F5093">
        <w:rPr>
          <w:i/>
          <w:sz w:val="28"/>
          <w:szCs w:val="28"/>
          <w:lang w:val="nl-NL"/>
        </w:rPr>
        <w:t xml:space="preserve">số 84/NQ-HĐND ngày 25/8/2022 </w:t>
      </w:r>
      <w:r w:rsidRPr="002F5093">
        <w:rPr>
          <w:i/>
          <w:sz w:val="28"/>
          <w:szCs w:val="28"/>
          <w:lang w:val="nl-NL"/>
        </w:rPr>
        <w:t xml:space="preserve">về </w:t>
      </w:r>
      <w:r w:rsidR="003E0D1A" w:rsidRPr="002F5093">
        <w:rPr>
          <w:i/>
          <w:sz w:val="28"/>
          <w:szCs w:val="28"/>
          <w:lang w:val="nl-NL"/>
        </w:rPr>
        <w:t xml:space="preserve"> phân bổ kế hoạch vốn đầu tư phát</w:t>
      </w:r>
      <w:r w:rsidR="003E0D1A">
        <w:rPr>
          <w:i/>
          <w:sz w:val="28"/>
          <w:szCs w:val="28"/>
          <w:lang w:val="nl-NL"/>
        </w:rPr>
        <w:t xml:space="preserve"> triển nguồn ngân sách trung ương, ngân sách tỉnh giai đoạn 2022-2025</w:t>
      </w:r>
      <w:r w:rsidR="00E17E7B">
        <w:rPr>
          <w:i/>
          <w:sz w:val="28"/>
          <w:szCs w:val="28"/>
          <w:lang w:val="nl-NL"/>
        </w:rPr>
        <w:t xml:space="preserve"> thực hiện các Chương trình mục tiêu quốc gia</w:t>
      </w:r>
      <w:r w:rsidR="003E0D1A">
        <w:rPr>
          <w:i/>
          <w:sz w:val="28"/>
          <w:szCs w:val="28"/>
          <w:lang w:val="nl-NL"/>
        </w:rPr>
        <w:t xml:space="preserve">; </w:t>
      </w:r>
      <w:r w:rsidR="003E0D1A">
        <w:rPr>
          <w:i/>
          <w:sz w:val="28"/>
          <w:szCs w:val="28"/>
        </w:rPr>
        <w:t xml:space="preserve">số 94/NQ-HĐND ngày 11/11/2022 về phân bổ kế hoạch vốn đầu tư phát triển nguồn ngân sách Trung ương và ngân sách tỉnh giai đoạn 2021-2025 thực hiện các chương trình mục tiêu quốc gia; </w:t>
      </w:r>
      <w:r w:rsidR="003E0D1A">
        <w:rPr>
          <w:i/>
          <w:sz w:val="28"/>
          <w:szCs w:val="28"/>
          <w:lang w:val="nl-NL"/>
        </w:rPr>
        <w:t>số 113/NQ-HĐND ngày 06/6/2023</w:t>
      </w:r>
      <w:r>
        <w:rPr>
          <w:i/>
          <w:sz w:val="28"/>
          <w:szCs w:val="28"/>
          <w:lang w:val="nl-NL"/>
        </w:rPr>
        <w:t xml:space="preserve"> về </w:t>
      </w:r>
      <w:r w:rsidR="003E0D1A">
        <w:rPr>
          <w:i/>
          <w:sz w:val="28"/>
          <w:szCs w:val="28"/>
          <w:lang w:val="nl-NL"/>
        </w:rPr>
        <w:t>phân bổ kế hoạch vốn đầu tư phát triển nguồn ngân sách trung ương bổ sung giai đoạn 2021-</w:t>
      </w:r>
      <w:r w:rsidR="00E17E7B">
        <w:rPr>
          <w:i/>
          <w:sz w:val="28"/>
          <w:szCs w:val="28"/>
          <w:lang w:val="nl-NL"/>
        </w:rPr>
        <w:t>2025 thực hiện Chương trình mục tiêu quốc gia</w:t>
      </w:r>
      <w:r w:rsidR="003E0D1A">
        <w:rPr>
          <w:i/>
          <w:sz w:val="28"/>
          <w:szCs w:val="28"/>
          <w:lang w:val="nl-NL"/>
        </w:rPr>
        <w:t xml:space="preserve"> xây dựng nông thôn mới; </w:t>
      </w:r>
      <w:r w:rsidR="003E0D1A">
        <w:rPr>
          <w:i/>
          <w:sz w:val="28"/>
          <w:szCs w:val="28"/>
        </w:rPr>
        <w:t>số 240/NQ-HĐND ngày 18/4/2025 về điều chỉnh kế hoạch vốn đầu tư phát triển nguồn ngân sách Trung ương thực hiện các Chương trình mục tiêu quốc gia giai đoạn 2022 - 2025 và năm 2025.</w:t>
      </w:r>
    </w:p>
    <w:p w:rsidR="00107207" w:rsidRDefault="003E0D1A">
      <w:pPr>
        <w:spacing w:before="120" w:after="120"/>
        <w:ind w:firstLine="697"/>
        <w:jc w:val="both"/>
        <w:rPr>
          <w:i/>
          <w:sz w:val="28"/>
          <w:szCs w:val="28"/>
          <w:lang w:val="nl-NL"/>
        </w:rPr>
      </w:pPr>
      <w:r>
        <w:rPr>
          <w:i/>
          <w:sz w:val="28"/>
          <w:szCs w:val="28"/>
          <w:lang w:val="nl-NL"/>
        </w:rPr>
        <w:t xml:space="preserve">Căn cứ Quyết định số 864/QĐ-TTg ngày 05/5/2025 của Thủ tướng Chính phủ về việc điều chỉnh kế hoạch đầu tư công trung hạn vốn ngân sách Trung ương giai đoạn 2021-2025 thực hiện Chương trình MTQG xây dựng nông thôn mới; Quyết định số 1148/QĐ-TTg ngày 13/6/2025 của Thủ tướng Chính phủ về </w:t>
      </w:r>
      <w:r>
        <w:rPr>
          <w:i/>
          <w:sz w:val="28"/>
          <w:szCs w:val="28"/>
          <w:lang w:val="nl-NL"/>
        </w:rPr>
        <w:lastRenderedPageBreak/>
        <w:t>việc giao bổ sung dự toán chi đầu tư phát triển, kế hoạch đầu tư công vốn ngân sách trung ương năm 2025 cho các địa phương thực hiện 03 chương trình mục tiêu quốc gia (đợt 2);</w:t>
      </w:r>
    </w:p>
    <w:p w:rsidR="00670C0C" w:rsidRPr="002F5093" w:rsidRDefault="00670C0C" w:rsidP="002F5093">
      <w:pPr>
        <w:snapToGrid w:val="0"/>
        <w:ind w:firstLine="697"/>
        <w:jc w:val="both"/>
        <w:rPr>
          <w:i/>
          <w:sz w:val="30"/>
          <w:szCs w:val="30"/>
        </w:rPr>
      </w:pPr>
      <w:r w:rsidRPr="002F5093">
        <w:rPr>
          <w:i/>
          <w:sz w:val="28"/>
          <w:szCs w:val="28"/>
        </w:rPr>
        <w:t xml:space="preserve">Thực hiện </w:t>
      </w:r>
      <w:r w:rsidR="007A65F2">
        <w:rPr>
          <w:i/>
          <w:sz w:val="28"/>
          <w:szCs w:val="28"/>
        </w:rPr>
        <w:t>Kết luận</w:t>
      </w:r>
      <w:r w:rsidRPr="002F5093">
        <w:rPr>
          <w:i/>
          <w:sz w:val="28"/>
          <w:szCs w:val="28"/>
        </w:rPr>
        <w:t xml:space="preserve"> số</w:t>
      </w:r>
      <w:r w:rsidR="002F5093" w:rsidRPr="002F5093">
        <w:rPr>
          <w:i/>
          <w:sz w:val="28"/>
          <w:szCs w:val="28"/>
        </w:rPr>
        <w:t xml:space="preserve"> 300</w:t>
      </w:r>
      <w:r w:rsidR="00C36FF4">
        <w:rPr>
          <w:i/>
          <w:sz w:val="28"/>
          <w:szCs w:val="28"/>
        </w:rPr>
        <w:t>-KL</w:t>
      </w:r>
      <w:r w:rsidRPr="002F5093">
        <w:rPr>
          <w:i/>
          <w:sz w:val="28"/>
          <w:szCs w:val="28"/>
        </w:rPr>
        <w:t xml:space="preserve">/TU ngày 17/7/2025 của </w:t>
      </w:r>
      <w:r w:rsidRPr="002F5093">
        <w:rPr>
          <w:i/>
          <w:sz w:val="28"/>
          <w:szCs w:val="28"/>
          <w:lang w:val="it-IT"/>
        </w:rPr>
        <w:t>Ban Chấp hành Đảng bộ tỉnh về</w:t>
      </w:r>
      <w:r w:rsidRPr="002F5093">
        <w:rPr>
          <w:i/>
          <w:sz w:val="28"/>
          <w:szCs w:val="28"/>
        </w:rPr>
        <w:t xml:space="preserve"> </w:t>
      </w:r>
      <w:r w:rsidR="002F5093" w:rsidRPr="002F5093">
        <w:rPr>
          <w:i/>
          <w:sz w:val="30"/>
          <w:szCs w:val="30"/>
        </w:rPr>
        <w:t>các nội dung Ban</w:t>
      </w:r>
      <w:bookmarkStart w:id="0" w:name="_GoBack"/>
      <w:bookmarkEnd w:id="0"/>
      <w:r w:rsidR="002F5093" w:rsidRPr="002F5093">
        <w:rPr>
          <w:i/>
          <w:sz w:val="30"/>
          <w:szCs w:val="30"/>
        </w:rPr>
        <w:t xml:space="preserve"> Thường vụ Đảng ủy Ủy ban nhân dân tỉnh trình</w:t>
      </w:r>
      <w:r w:rsidR="002F5093">
        <w:rPr>
          <w:i/>
          <w:sz w:val="30"/>
          <w:szCs w:val="30"/>
        </w:rPr>
        <w:t>;</w:t>
      </w:r>
    </w:p>
    <w:p w:rsidR="00107207" w:rsidRDefault="003E0D1A">
      <w:pPr>
        <w:spacing w:before="120" w:after="120"/>
        <w:ind w:firstLine="697"/>
        <w:jc w:val="both"/>
        <w:rPr>
          <w:i/>
          <w:sz w:val="28"/>
          <w:szCs w:val="28"/>
        </w:rPr>
      </w:pPr>
      <w:r w:rsidRPr="00670C0C">
        <w:rPr>
          <w:i/>
          <w:sz w:val="28"/>
          <w:szCs w:val="28"/>
        </w:rPr>
        <w:t>Theo đề nghị của Sở Tài chính tại Văn bản số 4614/STC-QLN ngày</w:t>
      </w:r>
      <w:r>
        <w:rPr>
          <w:i/>
          <w:sz w:val="28"/>
          <w:szCs w:val="28"/>
        </w:rPr>
        <w:t xml:space="preserve"> 10/7/2025; ý kiến thống nhất của các thành viên UBND tỉnh qua Phiếu biểu quyết; Ủy ban nhân dân tỉnh trình Hội đồng nhân dân tỉnh xem xét </w:t>
      </w:r>
      <w:r>
        <w:rPr>
          <w:i/>
          <w:iCs/>
          <w:sz w:val="28"/>
          <w:szCs w:val="28"/>
        </w:rPr>
        <w:t xml:space="preserve">bổ sung, điều chỉnh kế hoạch vốn đầu tư phát triển nguồn ngân sách Trung ương </w:t>
      </w:r>
      <w:r>
        <w:rPr>
          <w:i/>
          <w:iCs/>
          <w:sz w:val="28"/>
          <w:szCs w:val="28"/>
          <w:lang w:val="nl-NL"/>
        </w:rPr>
        <w:t xml:space="preserve">giai đoạn 2022 – 2025 và phân bổ kế hoạch vốn năm 2025 </w:t>
      </w:r>
      <w:r>
        <w:rPr>
          <w:i/>
          <w:iCs/>
          <w:sz w:val="28"/>
          <w:szCs w:val="28"/>
        </w:rPr>
        <w:t>thực hiện các Chương trình mục tiêu quốc gia,</w:t>
      </w:r>
      <w:r>
        <w:rPr>
          <w:i/>
          <w:sz w:val="28"/>
          <w:szCs w:val="28"/>
        </w:rPr>
        <w:t xml:space="preserve"> với các nội dung như sau:</w:t>
      </w:r>
    </w:p>
    <w:p w:rsidR="00107207" w:rsidRDefault="003E0D1A">
      <w:pPr>
        <w:widowControl w:val="0"/>
        <w:spacing w:before="120" w:line="240" w:lineRule="atLeast"/>
        <w:ind w:firstLine="720"/>
        <w:jc w:val="both"/>
        <w:rPr>
          <w:b/>
          <w:bCs/>
          <w:sz w:val="28"/>
          <w:szCs w:val="28"/>
        </w:rPr>
      </w:pPr>
      <w:r>
        <w:rPr>
          <w:b/>
          <w:bCs/>
          <w:sz w:val="28"/>
          <w:szCs w:val="28"/>
        </w:rPr>
        <w:t xml:space="preserve">I. </w:t>
      </w:r>
      <w:r>
        <w:rPr>
          <w:b/>
          <w:bCs/>
          <w:color w:val="000000"/>
          <w:sz w:val="28"/>
          <w:szCs w:val="28"/>
          <w:lang w:eastAsia="vi-VN"/>
        </w:rPr>
        <w:t>Bổ sung, đ</w:t>
      </w:r>
      <w:r>
        <w:rPr>
          <w:b/>
          <w:bCs/>
          <w:sz w:val="28"/>
          <w:szCs w:val="28"/>
        </w:rPr>
        <w:t>iều chỉnh Kế hoạch vốn đầu tư phát triển nguồn ngân sách Trung ương thực hiện Chương trình MTQG xây dựng nông thôn mới giai đoạn 2022-2025 và phân bổ kế hoạch vốn năm 2025:</w:t>
      </w:r>
    </w:p>
    <w:p w:rsidR="00107207" w:rsidRDefault="003E0D1A">
      <w:pPr>
        <w:widowControl w:val="0"/>
        <w:spacing w:before="60" w:after="60" w:line="340" w:lineRule="exact"/>
        <w:ind w:firstLine="720"/>
        <w:jc w:val="both"/>
        <w:rPr>
          <w:b/>
          <w:bCs/>
          <w:i/>
          <w:iCs/>
          <w:color w:val="000000"/>
          <w:spacing w:val="-2"/>
          <w:sz w:val="28"/>
          <w:szCs w:val="28"/>
          <w:lang w:eastAsia="vi-VN"/>
        </w:rPr>
      </w:pPr>
      <w:r>
        <w:rPr>
          <w:b/>
          <w:bCs/>
          <w:i/>
          <w:iCs/>
          <w:color w:val="000000"/>
          <w:spacing w:val="-2"/>
          <w:sz w:val="28"/>
          <w:szCs w:val="28"/>
          <w:lang w:eastAsia="vi-VN"/>
        </w:rPr>
        <w:t>1.1. Nội dung đề xuất:</w:t>
      </w:r>
    </w:p>
    <w:p w:rsidR="00107207" w:rsidRPr="002F5093" w:rsidRDefault="003E0D1A">
      <w:pPr>
        <w:widowControl w:val="0"/>
        <w:spacing w:before="60" w:after="60" w:line="340" w:lineRule="exact"/>
        <w:ind w:firstLine="720"/>
        <w:jc w:val="both"/>
        <w:rPr>
          <w:spacing w:val="-4"/>
          <w:sz w:val="28"/>
          <w:szCs w:val="28"/>
        </w:rPr>
      </w:pPr>
      <w:r w:rsidRPr="002F5093">
        <w:rPr>
          <w:color w:val="000000"/>
          <w:spacing w:val="-4"/>
          <w:sz w:val="28"/>
          <w:szCs w:val="28"/>
          <w:lang w:eastAsia="vi-VN"/>
        </w:rPr>
        <w:t xml:space="preserve">- Bổ sung Kế hoạch đầu tư công trung hạn nguồn vốn NSTW thực hiện </w:t>
      </w:r>
      <w:r w:rsidRPr="002F5093">
        <w:rPr>
          <w:spacing w:val="-4"/>
          <w:sz w:val="28"/>
          <w:szCs w:val="28"/>
        </w:rPr>
        <w:t>Chương trình MTQG xây dựng nông thôn mới giai đoạn 2022-2025 và phân bổ kế hoạch vốn năm 2025</w:t>
      </w:r>
      <w:r w:rsidRPr="002F5093">
        <w:rPr>
          <w:rStyle w:val="FootnoteReference"/>
          <w:spacing w:val="-4"/>
          <w:sz w:val="28"/>
          <w:szCs w:val="28"/>
        </w:rPr>
        <w:footnoteReference w:id="1"/>
      </w:r>
      <w:r w:rsidRPr="002F5093">
        <w:rPr>
          <w:spacing w:val="-4"/>
          <w:sz w:val="28"/>
          <w:szCs w:val="28"/>
        </w:rPr>
        <w:t xml:space="preserve"> để thực hiện Dự án Mở rộng mạng lưới cấp nước nhà máy nước Nghi Xuân cấp cho xã Xuân Hải, huyện Nghi Xuân số tiền 450 triệu đồng.</w:t>
      </w:r>
    </w:p>
    <w:p w:rsidR="00107207" w:rsidRDefault="003E0D1A">
      <w:pPr>
        <w:widowControl w:val="0"/>
        <w:spacing w:before="60" w:after="60" w:line="340" w:lineRule="exact"/>
        <w:ind w:firstLine="720"/>
        <w:jc w:val="both"/>
        <w:rPr>
          <w:sz w:val="28"/>
          <w:szCs w:val="28"/>
        </w:rPr>
      </w:pPr>
      <w:r>
        <w:rPr>
          <w:sz w:val="28"/>
          <w:szCs w:val="28"/>
        </w:rPr>
        <w:t>- Điều chỉnh Nghị quyết số 94/NQ-HĐND ngày 11/11/2022 của HĐND tỉnh về phân bổ kế hoạch đầu tư các công trình cấp nước sạch nông thôn tập trung từ nguồn vốn chương trình MTQG xây dựng nông thôn mới giai đoạn 2022 – 2025 và năm 2022 đối với Dự án Mở rộng mạng lưới cấp nước nhà máy nước Nghi Xuân cấp cho xã Xuân Hải, huyện Nghi Xuân, cụ thể như sau:</w:t>
      </w:r>
    </w:p>
    <w:p w:rsidR="00107207" w:rsidRDefault="003E0D1A">
      <w:pPr>
        <w:widowControl w:val="0"/>
        <w:spacing w:before="60" w:after="60" w:line="340" w:lineRule="exact"/>
        <w:ind w:firstLine="720"/>
        <w:jc w:val="both"/>
        <w:rPr>
          <w:sz w:val="28"/>
          <w:szCs w:val="28"/>
        </w:rPr>
      </w:pPr>
      <w:r>
        <w:rPr>
          <w:sz w:val="28"/>
          <w:szCs w:val="28"/>
        </w:rPr>
        <w:t>+) Điều chỉnh tăng vốn Ngân sách trung ương: 450 triệu đồng.</w:t>
      </w:r>
    </w:p>
    <w:p w:rsidR="00107207" w:rsidRDefault="003E0D1A">
      <w:pPr>
        <w:widowControl w:val="0"/>
        <w:spacing w:before="60" w:after="60" w:line="340" w:lineRule="exact"/>
        <w:ind w:firstLine="720"/>
        <w:jc w:val="both"/>
        <w:rPr>
          <w:spacing w:val="-6"/>
          <w:sz w:val="28"/>
          <w:szCs w:val="28"/>
        </w:rPr>
      </w:pPr>
      <w:proofErr w:type="gramStart"/>
      <w:r>
        <w:rPr>
          <w:spacing w:val="-6"/>
          <w:sz w:val="28"/>
          <w:szCs w:val="28"/>
        </w:rPr>
        <w:t>+) Điều chỉnh giảm vốn Ngân sách xã và nhân dân đóng góp: 450 triệu đồng.</w:t>
      </w:r>
      <w:proofErr w:type="gramEnd"/>
    </w:p>
    <w:p w:rsidR="00107207" w:rsidRDefault="003E0D1A">
      <w:pPr>
        <w:widowControl w:val="0"/>
        <w:spacing w:before="60" w:after="60" w:line="340" w:lineRule="exact"/>
        <w:ind w:firstLine="720"/>
        <w:jc w:val="center"/>
        <w:rPr>
          <w:i/>
          <w:iCs/>
          <w:sz w:val="28"/>
          <w:szCs w:val="28"/>
        </w:rPr>
      </w:pPr>
      <w:r>
        <w:rPr>
          <w:i/>
          <w:iCs/>
          <w:sz w:val="28"/>
          <w:szCs w:val="28"/>
        </w:rPr>
        <w:t xml:space="preserve">(Có Phụ lục 01 kèm </w:t>
      </w:r>
      <w:proofErr w:type="gramStart"/>
      <w:r>
        <w:rPr>
          <w:i/>
          <w:iCs/>
          <w:sz w:val="28"/>
          <w:szCs w:val="28"/>
        </w:rPr>
        <w:t>theo</w:t>
      </w:r>
      <w:proofErr w:type="gramEnd"/>
      <w:r>
        <w:rPr>
          <w:i/>
          <w:iCs/>
          <w:sz w:val="28"/>
          <w:szCs w:val="28"/>
        </w:rPr>
        <w:t>)</w:t>
      </w:r>
    </w:p>
    <w:p w:rsidR="00107207" w:rsidRDefault="003E0D1A">
      <w:pPr>
        <w:widowControl w:val="0"/>
        <w:spacing w:before="60" w:after="60" w:line="340" w:lineRule="exact"/>
        <w:ind w:firstLine="720"/>
        <w:jc w:val="both"/>
        <w:rPr>
          <w:b/>
          <w:bCs/>
          <w:i/>
          <w:iCs/>
          <w:sz w:val="28"/>
          <w:szCs w:val="28"/>
        </w:rPr>
      </w:pPr>
      <w:r>
        <w:rPr>
          <w:b/>
          <w:bCs/>
          <w:i/>
          <w:iCs/>
          <w:sz w:val="28"/>
          <w:szCs w:val="28"/>
        </w:rPr>
        <w:t xml:space="preserve">1.2. Lý </w:t>
      </w:r>
      <w:proofErr w:type="gramStart"/>
      <w:r>
        <w:rPr>
          <w:b/>
          <w:bCs/>
          <w:i/>
          <w:iCs/>
          <w:sz w:val="28"/>
          <w:szCs w:val="28"/>
        </w:rPr>
        <w:t>do</w:t>
      </w:r>
      <w:proofErr w:type="gramEnd"/>
      <w:r>
        <w:rPr>
          <w:b/>
          <w:bCs/>
          <w:i/>
          <w:iCs/>
          <w:sz w:val="28"/>
          <w:szCs w:val="28"/>
        </w:rPr>
        <w:t xml:space="preserve"> điều chỉnh, bổ sung</w:t>
      </w:r>
    </w:p>
    <w:p w:rsidR="00107207" w:rsidRDefault="003E0D1A">
      <w:pPr>
        <w:widowControl w:val="0"/>
        <w:spacing w:before="60" w:after="60" w:line="340" w:lineRule="exact"/>
        <w:ind w:firstLine="720"/>
        <w:jc w:val="both"/>
        <w:rPr>
          <w:sz w:val="28"/>
          <w:szCs w:val="28"/>
        </w:rPr>
      </w:pPr>
      <w:r>
        <w:rPr>
          <w:sz w:val="28"/>
          <w:szCs w:val="28"/>
        </w:rPr>
        <w:t xml:space="preserve">Căn cứ số kinh phí được Thủ tướng Chỉnh phủ bổ sung tại Quyết định số </w:t>
      </w:r>
      <w:r>
        <w:rPr>
          <w:sz w:val="28"/>
          <w:szCs w:val="28"/>
          <w:lang w:val="vi-VN"/>
        </w:rPr>
        <w:t>864/QĐ-TTg</w:t>
      </w:r>
      <w:r>
        <w:rPr>
          <w:sz w:val="28"/>
          <w:szCs w:val="28"/>
        </w:rPr>
        <w:t xml:space="preserve"> </w:t>
      </w:r>
      <w:r>
        <w:rPr>
          <w:color w:val="000000"/>
          <w:sz w:val="28"/>
          <w:szCs w:val="28"/>
          <w:lang w:val="vi-VN"/>
        </w:rPr>
        <w:t xml:space="preserve">ngày 05/5/2025 </w:t>
      </w:r>
      <w:r>
        <w:rPr>
          <w:color w:val="000000"/>
          <w:spacing w:val="-4"/>
          <w:sz w:val="28"/>
          <w:szCs w:val="28"/>
        </w:rPr>
        <w:t>và</w:t>
      </w:r>
      <w:r>
        <w:rPr>
          <w:color w:val="000000"/>
          <w:spacing w:val="-4"/>
          <w:sz w:val="28"/>
          <w:szCs w:val="28"/>
          <w:lang w:val="vi-VN"/>
        </w:rPr>
        <w:t xml:space="preserve"> </w:t>
      </w:r>
      <w:r>
        <w:rPr>
          <w:color w:val="000000"/>
          <w:spacing w:val="-4"/>
          <w:sz w:val="28"/>
          <w:szCs w:val="28"/>
        </w:rPr>
        <w:t xml:space="preserve">số 1148/QĐ-TTg ngày 13/6/2025 đối với </w:t>
      </w:r>
      <w:r>
        <w:rPr>
          <w:sz w:val="28"/>
          <w:szCs w:val="28"/>
        </w:rPr>
        <w:t xml:space="preserve">Kế hoạch vốn đầu tư phát triển nguồn NSTW thực hiện Chương trình MTQG xây dựng nông thôn mới (450 triệu đồng); hướng dẫn của </w:t>
      </w:r>
      <w:r>
        <w:rPr>
          <w:rStyle w:val="fontstyle01"/>
        </w:rPr>
        <w:t>Bộ Nông nghiệp và Môi trường tại Văn bản số 3905/BNNMT-VPĐP ngày 01/7/2025</w:t>
      </w:r>
      <w:r>
        <w:rPr>
          <w:rStyle w:val="FootnoteReference"/>
          <w:color w:val="000000"/>
          <w:sz w:val="28"/>
          <w:szCs w:val="28"/>
        </w:rPr>
        <w:footnoteReference w:id="2"/>
      </w:r>
      <w:r>
        <w:rPr>
          <w:rStyle w:val="fontstyle01"/>
        </w:rPr>
        <w:t xml:space="preserve">; </w:t>
      </w:r>
      <w:r>
        <w:rPr>
          <w:color w:val="000000"/>
          <w:sz w:val="28"/>
          <w:szCs w:val="28"/>
          <w:lang w:val="vi-VN"/>
        </w:rPr>
        <w:t>Nghị quyết</w:t>
      </w:r>
      <w:r>
        <w:rPr>
          <w:color w:val="000000"/>
          <w:sz w:val="28"/>
          <w:szCs w:val="28"/>
        </w:rPr>
        <w:t xml:space="preserve"> số</w:t>
      </w:r>
      <w:r>
        <w:rPr>
          <w:color w:val="000000"/>
          <w:sz w:val="28"/>
          <w:szCs w:val="28"/>
          <w:lang w:val="vi-VN"/>
        </w:rPr>
        <w:t xml:space="preserve"> </w:t>
      </w:r>
      <w:r>
        <w:rPr>
          <w:color w:val="000000"/>
          <w:sz w:val="28"/>
          <w:szCs w:val="28"/>
          <w:lang w:val="vi-VN"/>
        </w:rPr>
        <w:lastRenderedPageBreak/>
        <w:t>75/2022/NQ-HĐND ngày 15/7/2022 của Hội đồng nhân dân tỉnh</w:t>
      </w:r>
      <w:r>
        <w:rPr>
          <w:color w:val="000000"/>
          <w:sz w:val="28"/>
          <w:szCs w:val="28"/>
        </w:rPr>
        <w:t xml:space="preserve"> và thực tiễn thực hiện chương trình hiện nay</w:t>
      </w:r>
      <w:r>
        <w:rPr>
          <w:rStyle w:val="fontstyle01"/>
        </w:rPr>
        <w:t>, Sở Nông nghiệp và Môi trường (Cơ quan thường trực chương trình MTQG xây dựng nông thôn mới) đề xuất phân bổ cho</w:t>
      </w:r>
      <w:r>
        <w:rPr>
          <w:color w:val="000000"/>
          <w:spacing w:val="-4"/>
          <w:sz w:val="28"/>
          <w:szCs w:val="28"/>
        </w:rPr>
        <w:t xml:space="preserve"> </w:t>
      </w:r>
      <w:r>
        <w:rPr>
          <w:color w:val="000000"/>
          <w:sz w:val="28"/>
          <w:szCs w:val="28"/>
        </w:rPr>
        <w:t>Dự án Mở rộng mạng lưới cấp nước nhà máy nước Nghi Xuân cấp cho xã Xuân Hải, huyện Nghi Xuân với số vốn là 450 triệu đồng</w:t>
      </w:r>
      <w:r>
        <w:rPr>
          <w:rStyle w:val="FootnoteReference"/>
          <w:color w:val="000000"/>
          <w:sz w:val="28"/>
          <w:szCs w:val="28"/>
        </w:rPr>
        <w:footnoteReference w:id="3"/>
      </w:r>
      <w:r>
        <w:rPr>
          <w:color w:val="000000"/>
          <w:sz w:val="28"/>
          <w:szCs w:val="28"/>
        </w:rPr>
        <w:t>.</w:t>
      </w:r>
    </w:p>
    <w:p w:rsidR="00107207" w:rsidRDefault="003E0D1A">
      <w:pPr>
        <w:widowControl w:val="0"/>
        <w:spacing w:before="60" w:after="60" w:line="340" w:lineRule="exact"/>
        <w:ind w:firstLine="720"/>
        <w:jc w:val="both"/>
        <w:rPr>
          <w:sz w:val="28"/>
          <w:szCs w:val="28"/>
        </w:rPr>
      </w:pPr>
      <w:r>
        <w:rPr>
          <w:sz w:val="28"/>
          <w:szCs w:val="28"/>
        </w:rPr>
        <w:t xml:space="preserve">Đối với Dự án Mở rộng mạng lưới cấp nước nhà máy nước Nghi Xuân cấp cho xã Xuân Hải, huyện Nghi Xuân được HĐND tỉnh bố trí kế hoạch vốn đầu tư công tại Nghị quyết số 94/NQ-HDND ngày 11/11/2022 và được UBND tỉnh phê duyệt đầu tư tại Quyết định số 2955/QĐ-UBND ngày 14/11/2023 với tổng mức đầu tư 11.200 triệu đồng (trong đó: vốn NSTW 5.500 triệu đồng; vốn ngân sách đối ứng xã Xuân Hải </w:t>
      </w:r>
      <w:r>
        <w:rPr>
          <w:i/>
          <w:sz w:val="28"/>
          <w:szCs w:val="28"/>
        </w:rPr>
        <w:t>(nay là xã Đan Hải)</w:t>
      </w:r>
      <w:r>
        <w:rPr>
          <w:sz w:val="28"/>
          <w:szCs w:val="28"/>
        </w:rPr>
        <w:t xml:space="preserve"> và người dân đóng góp 5.700 triệu đồng. Dự </w:t>
      </w:r>
      <w:proofErr w:type="gramStart"/>
      <w:r>
        <w:rPr>
          <w:sz w:val="28"/>
          <w:szCs w:val="28"/>
        </w:rPr>
        <w:t>án</w:t>
      </w:r>
      <w:proofErr w:type="gramEnd"/>
      <w:r>
        <w:rPr>
          <w:sz w:val="28"/>
          <w:szCs w:val="28"/>
        </w:rPr>
        <w:t xml:space="preserve"> hiện đã thi công hoàn thành trong năm 2024 và đang hoàn tất các thủ tục bàn giao, quyết toán hoàn thành dự án. Tổng nguồn vốn bố trí cho dự </w:t>
      </w:r>
      <w:proofErr w:type="gramStart"/>
      <w:r>
        <w:rPr>
          <w:sz w:val="28"/>
          <w:szCs w:val="28"/>
        </w:rPr>
        <w:t>án</w:t>
      </w:r>
      <w:proofErr w:type="gramEnd"/>
      <w:r>
        <w:rPr>
          <w:sz w:val="28"/>
          <w:szCs w:val="28"/>
        </w:rPr>
        <w:t xml:space="preserve"> đến nay là 9.450 triệu đồng; trong đó: vốn NSTW 5.500 triệu đồng; vốn ngân sách xã đối ứng cho dự án 3.950 triệu đồng (số vốn còn thiếu là 1.064 triệu đồng). Theo báo cáo của UBND xã Đan Hải, hiện Chính quyền cấp xã sau sáp nhập mới đi vào vận hành nên việc cân đối bố trí vốn cho dự án là hết sức khó khăn; do đó, UBND xã đề xuất bố trí phần vốn 450 triệu đồng nguồn vốn NSTW cho dự án (giảm phần ngân sách đối ứng cho xã).</w:t>
      </w:r>
    </w:p>
    <w:p w:rsidR="00107207" w:rsidRDefault="003E0D1A">
      <w:pPr>
        <w:widowControl w:val="0"/>
        <w:spacing w:before="60" w:after="60" w:line="340" w:lineRule="exact"/>
        <w:ind w:firstLine="720"/>
        <w:jc w:val="both"/>
        <w:rPr>
          <w:color w:val="000000"/>
          <w:sz w:val="28"/>
          <w:szCs w:val="28"/>
        </w:rPr>
      </w:pPr>
      <w:r>
        <w:rPr>
          <w:color w:val="000000"/>
          <w:sz w:val="28"/>
          <w:szCs w:val="28"/>
        </w:rPr>
        <w:t xml:space="preserve">Như vậy, việc đề xuất bố trí vốn cho Dự án Mở rộng mạng lưới cấp nước nhà máy nước Nghi Xuân cấp cho xã Xuân Hải, huyện Nghi Xuân với số vốn 450 triệu đồng là phù hợp </w:t>
      </w:r>
      <w:r>
        <w:rPr>
          <w:color w:val="000000"/>
          <w:sz w:val="28"/>
          <w:szCs w:val="28"/>
          <w:shd w:val="clear" w:color="auto" w:fill="FFFFFF"/>
          <w:lang w:val="vi-VN"/>
        </w:rPr>
        <w:t>theo</w:t>
      </w:r>
      <w:r>
        <w:rPr>
          <w:color w:val="000000"/>
          <w:sz w:val="28"/>
          <w:szCs w:val="28"/>
          <w:shd w:val="clear" w:color="auto" w:fill="FFFFFF"/>
        </w:rPr>
        <w:t xml:space="preserve"> nguyên tắc, tiêu chí tại</w:t>
      </w:r>
      <w:r>
        <w:rPr>
          <w:color w:val="000000"/>
          <w:sz w:val="28"/>
          <w:szCs w:val="28"/>
          <w:shd w:val="clear" w:color="auto" w:fill="FFFFFF"/>
          <w:lang w:val="vi-VN"/>
        </w:rPr>
        <w:t xml:space="preserve"> Nghị quyết 75/2022/NQ-HĐND ngày 15/7/2022 của Hội đồng nhân dân tỉnh</w:t>
      </w:r>
      <w:r>
        <w:rPr>
          <w:color w:val="000000"/>
          <w:sz w:val="28"/>
          <w:szCs w:val="28"/>
        </w:rPr>
        <w:t xml:space="preserve"> và để đảm bảo giải ngân hết số vốn NSTW giao trong năm 2025 (năm cuối cùng thực hiện Kế hoạch của giai đoạn 2021 - 2025).</w:t>
      </w:r>
    </w:p>
    <w:p w:rsidR="00107207" w:rsidRDefault="003E0D1A">
      <w:pPr>
        <w:widowControl w:val="0"/>
        <w:spacing w:before="60" w:after="60" w:line="340" w:lineRule="exact"/>
        <w:ind w:firstLine="720"/>
        <w:jc w:val="both"/>
        <w:rPr>
          <w:b/>
          <w:bCs/>
          <w:iCs/>
          <w:color w:val="000000"/>
          <w:sz w:val="28"/>
          <w:szCs w:val="28"/>
          <w:lang w:eastAsia="vi-VN"/>
        </w:rPr>
      </w:pPr>
      <w:r>
        <w:rPr>
          <w:b/>
          <w:bCs/>
          <w:iCs/>
          <w:color w:val="000000"/>
          <w:sz w:val="28"/>
          <w:szCs w:val="28"/>
          <w:lang w:eastAsia="vi-VN"/>
        </w:rPr>
        <w:t xml:space="preserve">II. </w:t>
      </w:r>
      <w:r>
        <w:rPr>
          <w:b/>
          <w:bCs/>
          <w:color w:val="000000"/>
          <w:sz w:val="28"/>
          <w:szCs w:val="28"/>
          <w:lang w:eastAsia="vi-VN"/>
        </w:rPr>
        <w:t>Phân bổ</w:t>
      </w:r>
      <w:r>
        <w:rPr>
          <w:b/>
          <w:bCs/>
          <w:sz w:val="28"/>
          <w:szCs w:val="28"/>
        </w:rPr>
        <w:t xml:space="preserve"> Kế hoạch vốn đầu tư phát triển nguồn NSTW thực hiện Chương trình mục tiêu quốc gia phát triển kinh tế - xã hội vùng đồng bào dân tộc thiểu số và miền núi năm 2025</w:t>
      </w:r>
    </w:p>
    <w:p w:rsidR="00107207" w:rsidRDefault="003E0D1A">
      <w:pPr>
        <w:widowControl w:val="0"/>
        <w:spacing w:before="60" w:after="60" w:line="340" w:lineRule="exact"/>
        <w:ind w:firstLine="720"/>
        <w:jc w:val="both"/>
        <w:rPr>
          <w:color w:val="000000"/>
          <w:sz w:val="28"/>
          <w:szCs w:val="28"/>
          <w:lang w:eastAsia="vi-VN"/>
        </w:rPr>
      </w:pPr>
      <w:r>
        <w:rPr>
          <w:color w:val="000000"/>
          <w:sz w:val="28"/>
          <w:szCs w:val="28"/>
          <w:lang w:eastAsia="vi-VN"/>
        </w:rPr>
        <w:t xml:space="preserve">1. Nội dung đề xuất phân bổ: </w:t>
      </w:r>
    </w:p>
    <w:p w:rsidR="00107207" w:rsidRDefault="003E0D1A">
      <w:pPr>
        <w:widowControl w:val="0"/>
        <w:spacing w:before="60" w:after="60" w:line="340" w:lineRule="exact"/>
        <w:ind w:firstLine="720"/>
        <w:jc w:val="both"/>
        <w:rPr>
          <w:color w:val="000000"/>
          <w:sz w:val="28"/>
          <w:szCs w:val="28"/>
          <w:lang w:eastAsia="vi-VN"/>
        </w:rPr>
      </w:pPr>
      <w:r>
        <w:rPr>
          <w:color w:val="000000"/>
          <w:sz w:val="28"/>
          <w:szCs w:val="28"/>
          <w:lang w:eastAsia="vi-VN"/>
        </w:rPr>
        <w:t>Phân bổ Kế hoạch vốn đầu tư phát triển nguồn NSTW thực hiện Chương trình MTQG phát triển kinh tế - xã hội vùng đồng bào dân tộc thiểu số và miền núi năm 2025 số tiền 7.450 triệu đồng cho Bản Rào Tre, xã Phúc Trạch (trước đây là xã Hương Liên).</w:t>
      </w:r>
    </w:p>
    <w:p w:rsidR="00107207" w:rsidRDefault="003E0D1A">
      <w:pPr>
        <w:widowControl w:val="0"/>
        <w:spacing w:before="60" w:after="60" w:line="340" w:lineRule="exact"/>
        <w:ind w:firstLine="720"/>
        <w:jc w:val="center"/>
        <w:rPr>
          <w:i/>
          <w:iCs/>
          <w:sz w:val="28"/>
          <w:szCs w:val="28"/>
        </w:rPr>
      </w:pPr>
      <w:r>
        <w:rPr>
          <w:i/>
          <w:iCs/>
          <w:sz w:val="28"/>
          <w:szCs w:val="28"/>
        </w:rPr>
        <w:t xml:space="preserve">(Có Phụ lục 02 kèm </w:t>
      </w:r>
      <w:proofErr w:type="gramStart"/>
      <w:r>
        <w:rPr>
          <w:i/>
          <w:iCs/>
          <w:sz w:val="28"/>
          <w:szCs w:val="28"/>
        </w:rPr>
        <w:t>theo</w:t>
      </w:r>
      <w:proofErr w:type="gramEnd"/>
      <w:r>
        <w:rPr>
          <w:i/>
          <w:iCs/>
          <w:sz w:val="28"/>
          <w:szCs w:val="28"/>
        </w:rPr>
        <w:t>)</w:t>
      </w:r>
    </w:p>
    <w:p w:rsidR="00107207" w:rsidRDefault="003E0D1A">
      <w:pPr>
        <w:widowControl w:val="0"/>
        <w:spacing w:before="60" w:after="60" w:line="340" w:lineRule="exact"/>
        <w:ind w:firstLine="720"/>
        <w:jc w:val="both"/>
        <w:rPr>
          <w:color w:val="000000"/>
          <w:sz w:val="28"/>
          <w:szCs w:val="28"/>
          <w:lang w:eastAsia="vi-VN"/>
        </w:rPr>
      </w:pPr>
      <w:r>
        <w:rPr>
          <w:color w:val="000000"/>
          <w:sz w:val="28"/>
          <w:szCs w:val="28"/>
          <w:lang w:eastAsia="vi-VN"/>
        </w:rPr>
        <w:lastRenderedPageBreak/>
        <w:t xml:space="preserve">2. Lý </w:t>
      </w:r>
      <w:proofErr w:type="gramStart"/>
      <w:r>
        <w:rPr>
          <w:color w:val="000000"/>
          <w:sz w:val="28"/>
          <w:szCs w:val="28"/>
          <w:lang w:eastAsia="vi-VN"/>
        </w:rPr>
        <w:t>do</w:t>
      </w:r>
      <w:proofErr w:type="gramEnd"/>
      <w:r>
        <w:rPr>
          <w:color w:val="000000"/>
          <w:sz w:val="28"/>
          <w:szCs w:val="28"/>
          <w:lang w:eastAsia="vi-VN"/>
        </w:rPr>
        <w:t xml:space="preserve"> phân bổ:</w:t>
      </w:r>
    </w:p>
    <w:p w:rsidR="00107207" w:rsidRDefault="003E0D1A">
      <w:pPr>
        <w:widowControl w:val="0"/>
        <w:spacing w:before="60" w:after="60" w:line="340" w:lineRule="exact"/>
        <w:ind w:firstLine="720"/>
        <w:jc w:val="both"/>
        <w:rPr>
          <w:color w:val="000000"/>
          <w:sz w:val="28"/>
          <w:szCs w:val="28"/>
          <w:lang w:eastAsia="vi-VN"/>
        </w:rPr>
      </w:pPr>
      <w:r>
        <w:rPr>
          <w:color w:val="000000"/>
          <w:sz w:val="28"/>
          <w:szCs w:val="28"/>
          <w:lang w:eastAsia="vi-VN"/>
        </w:rPr>
        <w:t>Kế hoạch vốn ngân sách Trung ương giai đoạn 2022-2025 thực hiện Chương trình được giao tại Nghị quyết số 240/NQ-HĐND ngày 18/4/2025 của HĐND tỉnh là 34.552 triệu đồng; được phân bổ chi tiết như sau:</w:t>
      </w:r>
    </w:p>
    <w:p w:rsidR="00107207" w:rsidRDefault="003E0D1A">
      <w:pPr>
        <w:widowControl w:val="0"/>
        <w:spacing w:before="60" w:after="60" w:line="340" w:lineRule="exact"/>
        <w:ind w:firstLine="720"/>
        <w:jc w:val="both"/>
        <w:rPr>
          <w:color w:val="000000"/>
          <w:sz w:val="28"/>
          <w:szCs w:val="28"/>
          <w:lang w:eastAsia="vi-VN"/>
        </w:rPr>
      </w:pPr>
      <w:r>
        <w:rPr>
          <w:color w:val="000000"/>
          <w:sz w:val="28"/>
          <w:szCs w:val="28"/>
          <w:lang w:eastAsia="vi-VN"/>
        </w:rPr>
        <w:t xml:space="preserve">- Thôn Bản Giàng, xã Hương Xuân (trước đây là xã Hương Vĩnh): 8.877 triệu đồng, hiện đã phân bổ hết hạn mức trong trung hạn là 8.877 triệu đồng. </w:t>
      </w:r>
    </w:p>
    <w:p w:rsidR="00107207" w:rsidRDefault="003E0D1A">
      <w:pPr>
        <w:widowControl w:val="0"/>
        <w:spacing w:before="60" w:after="60" w:line="340" w:lineRule="exact"/>
        <w:ind w:firstLine="720"/>
        <w:jc w:val="both"/>
        <w:rPr>
          <w:color w:val="000000"/>
          <w:sz w:val="28"/>
          <w:szCs w:val="28"/>
          <w:lang w:eastAsia="vi-VN"/>
        </w:rPr>
      </w:pPr>
      <w:r>
        <w:rPr>
          <w:color w:val="000000"/>
          <w:sz w:val="28"/>
          <w:szCs w:val="28"/>
          <w:lang w:eastAsia="vi-VN"/>
        </w:rPr>
        <w:t xml:space="preserve">- Bản Rào Tre, xã Phúc Trạch (trước đây là xã Hương Liên): 25.675 triệu đồng; đã phân bổ 18.225 triệu đồng, số vốn chưa phân bổ </w:t>
      </w:r>
      <w:proofErr w:type="gramStart"/>
      <w:r>
        <w:rPr>
          <w:color w:val="000000"/>
          <w:sz w:val="28"/>
          <w:szCs w:val="28"/>
          <w:lang w:eastAsia="vi-VN"/>
        </w:rPr>
        <w:t>theo</w:t>
      </w:r>
      <w:proofErr w:type="gramEnd"/>
      <w:r>
        <w:rPr>
          <w:color w:val="000000"/>
          <w:sz w:val="28"/>
          <w:szCs w:val="28"/>
          <w:lang w:eastAsia="vi-VN"/>
        </w:rPr>
        <w:t xml:space="preserve"> kế hoạch trung hạn 7.450 triệu đồng.</w:t>
      </w:r>
    </w:p>
    <w:p w:rsidR="00107207" w:rsidRDefault="003E0D1A">
      <w:pPr>
        <w:widowControl w:val="0"/>
        <w:spacing w:before="60" w:after="60" w:line="340" w:lineRule="exact"/>
        <w:ind w:firstLine="720"/>
        <w:jc w:val="both"/>
        <w:rPr>
          <w:color w:val="000000"/>
          <w:sz w:val="28"/>
          <w:szCs w:val="28"/>
          <w:lang w:eastAsia="vi-VN"/>
        </w:rPr>
      </w:pPr>
      <w:r>
        <w:rPr>
          <w:color w:val="000000"/>
          <w:sz w:val="28"/>
          <w:szCs w:val="28"/>
          <w:lang w:eastAsia="vi-VN"/>
        </w:rPr>
        <w:t xml:space="preserve">Đối với số vốn chưa phân bổ nêu trên, hiện đã được </w:t>
      </w:r>
      <w:r>
        <w:rPr>
          <w:color w:val="000000"/>
          <w:spacing w:val="-4"/>
          <w:sz w:val="28"/>
          <w:szCs w:val="28"/>
        </w:rPr>
        <w:t xml:space="preserve">Thủ tướng Chính phủ giao kế hoạch vốn năm 2025 tại </w:t>
      </w:r>
      <w:r>
        <w:rPr>
          <w:color w:val="000000"/>
          <w:sz w:val="28"/>
          <w:szCs w:val="28"/>
          <w:lang w:eastAsia="vi-VN"/>
        </w:rPr>
        <w:t xml:space="preserve">Quyết định </w:t>
      </w:r>
      <w:r>
        <w:rPr>
          <w:color w:val="000000"/>
          <w:spacing w:val="-4"/>
          <w:sz w:val="28"/>
          <w:szCs w:val="28"/>
        </w:rPr>
        <w:t>số 1148/QĐ-TTg ngày 13/6/2025 về việc về việc giao bổ sung dự toán chi đầu tư phát triển, kế hoạch đầu tư công vốn ngân sách trung ương năm 2025 cho các địa phương thực hiện 03 chương trình mục tiêu quốc gia (đợt 2). Căn cứ điểm c khoản 2 Điều 89 Luật Đầu tư công 2024</w:t>
      </w:r>
      <w:r>
        <w:rPr>
          <w:rStyle w:val="FootnoteReference"/>
          <w:color w:val="000000"/>
          <w:spacing w:val="-4"/>
          <w:sz w:val="28"/>
          <w:szCs w:val="28"/>
        </w:rPr>
        <w:footnoteReference w:id="4"/>
      </w:r>
      <w:r>
        <w:rPr>
          <w:color w:val="000000"/>
          <w:spacing w:val="-4"/>
          <w:sz w:val="28"/>
          <w:szCs w:val="28"/>
        </w:rPr>
        <w:t xml:space="preserve">, UBND tỉnh </w:t>
      </w:r>
      <w:r>
        <w:rPr>
          <w:color w:val="000000"/>
          <w:sz w:val="28"/>
          <w:szCs w:val="28"/>
          <w:lang w:eastAsia="vi-VN"/>
        </w:rPr>
        <w:t>trình HĐND tỉnh phân bổ Kế hoạch vốn đầu tư phát triển nguồn NSTW thực hiện Chương trình MTQG phát triển kinh tế - xã hội vùng đồng bào dân tộc thiểu số và miền núi năm 2025 số tiền 7.450 triệu đồng cho Bản Rào Tre, xã Phúc Trạch theo quy định.</w:t>
      </w:r>
    </w:p>
    <w:p w:rsidR="00107207" w:rsidRDefault="003E0D1A">
      <w:pPr>
        <w:widowControl w:val="0"/>
        <w:spacing w:before="60" w:after="60" w:line="340" w:lineRule="exact"/>
        <w:ind w:firstLine="720"/>
        <w:jc w:val="center"/>
        <w:rPr>
          <w:color w:val="000000"/>
          <w:sz w:val="28"/>
          <w:szCs w:val="28"/>
          <w:lang w:eastAsia="vi-VN"/>
        </w:rPr>
      </w:pPr>
      <w:r>
        <w:rPr>
          <w:i/>
          <w:iCs/>
          <w:sz w:val="28"/>
          <w:szCs w:val="28"/>
          <w:lang w:val="nl-NL"/>
        </w:rPr>
        <w:t>(Có dự thảo Nghị quyết kèm theo)</w:t>
      </w:r>
    </w:p>
    <w:p w:rsidR="00107207" w:rsidRDefault="003E0D1A">
      <w:pPr>
        <w:pStyle w:val="BodyText"/>
        <w:ind w:firstLine="720"/>
        <w:jc w:val="both"/>
        <w:rPr>
          <w:b w:val="0"/>
          <w:bCs w:val="0"/>
          <w:i/>
          <w:iCs/>
          <w:sz w:val="28"/>
          <w:szCs w:val="28"/>
          <w:lang w:val="nl-NL"/>
        </w:rPr>
      </w:pPr>
      <w:r>
        <w:rPr>
          <w:b w:val="0"/>
          <w:bCs w:val="0"/>
          <w:sz w:val="28"/>
          <w:szCs w:val="28"/>
          <w:lang w:val="nl-NL"/>
        </w:rPr>
        <w:t>Kính trình Hội đồng nhân dân tỉnh xem xét, quyết nghị</w:t>
      </w:r>
      <w:r>
        <w:rPr>
          <w:b w:val="0"/>
          <w:bCs w:val="0"/>
          <w:i/>
          <w:iCs/>
          <w:sz w:val="28"/>
          <w:szCs w:val="28"/>
          <w:lang w:val="nl-NL"/>
        </w:rPr>
        <w:t>./.</w:t>
      </w:r>
    </w:p>
    <w:p w:rsidR="00107207" w:rsidRDefault="003E0D1A">
      <w:pPr>
        <w:pStyle w:val="BodyText"/>
        <w:spacing w:before="120" w:line="240" w:lineRule="atLeast"/>
        <w:jc w:val="both"/>
        <w:rPr>
          <w:sz w:val="28"/>
          <w:szCs w:val="28"/>
          <w:lang w:val="nl-NL"/>
        </w:rPr>
      </w:pPr>
      <w:r>
        <w:rPr>
          <w:sz w:val="28"/>
          <w:szCs w:val="28"/>
          <w:lang w:val="nl-NL"/>
        </w:rPr>
        <w:tab/>
      </w:r>
      <w:r>
        <w:rPr>
          <w:sz w:val="28"/>
          <w:szCs w:val="28"/>
          <w:lang w:val="nl-NL"/>
        </w:rPr>
        <w:tab/>
      </w:r>
      <w:r>
        <w:rPr>
          <w:sz w:val="28"/>
          <w:szCs w:val="28"/>
          <w:lang w:val="nl-NL"/>
        </w:rPr>
        <w:tab/>
      </w:r>
      <w:r>
        <w:rPr>
          <w:sz w:val="28"/>
          <w:szCs w:val="28"/>
          <w:lang w:val="nl-NL"/>
        </w:rPr>
        <w:tab/>
      </w:r>
      <w:r>
        <w:rPr>
          <w:sz w:val="28"/>
          <w:szCs w:val="28"/>
          <w:lang w:val="nl-NL"/>
        </w:rPr>
        <w:tab/>
      </w:r>
    </w:p>
    <w:tbl>
      <w:tblPr>
        <w:tblW w:w="9180" w:type="dxa"/>
        <w:tblLook w:val="04A0" w:firstRow="1" w:lastRow="0" w:firstColumn="1" w:lastColumn="0" w:noHBand="0" w:noVBand="1"/>
      </w:tblPr>
      <w:tblGrid>
        <w:gridCol w:w="5211"/>
        <w:gridCol w:w="3969"/>
      </w:tblGrid>
      <w:tr w:rsidR="00107207">
        <w:trPr>
          <w:trHeight w:val="3306"/>
        </w:trPr>
        <w:tc>
          <w:tcPr>
            <w:tcW w:w="5211" w:type="dxa"/>
          </w:tcPr>
          <w:p w:rsidR="00107207" w:rsidRDefault="003E0D1A">
            <w:pPr>
              <w:rPr>
                <w:b/>
                <w:bCs/>
                <w:i/>
                <w:iCs/>
                <w:lang w:val="de-DE"/>
              </w:rPr>
            </w:pPr>
            <w:r>
              <w:rPr>
                <w:b/>
                <w:bCs/>
                <w:i/>
                <w:iCs/>
                <w:lang w:val="de-DE"/>
              </w:rPr>
              <w:t>Nơi nhận:</w:t>
            </w:r>
          </w:p>
          <w:p w:rsidR="00107207" w:rsidRDefault="003E0D1A">
            <w:pPr>
              <w:rPr>
                <w:sz w:val="22"/>
                <w:szCs w:val="22"/>
                <w:lang w:val="de-DE"/>
              </w:rPr>
            </w:pPr>
            <w:r>
              <w:rPr>
                <w:sz w:val="22"/>
                <w:szCs w:val="22"/>
                <w:lang w:val="de-DE"/>
              </w:rPr>
              <w:t>- Như trên;</w:t>
            </w:r>
          </w:p>
          <w:p w:rsidR="00107207" w:rsidRDefault="003E0D1A">
            <w:pPr>
              <w:rPr>
                <w:sz w:val="22"/>
                <w:szCs w:val="22"/>
                <w:lang w:val="de-DE"/>
              </w:rPr>
            </w:pPr>
            <w:r>
              <w:rPr>
                <w:sz w:val="22"/>
                <w:szCs w:val="22"/>
                <w:lang w:val="de-DE"/>
              </w:rPr>
              <w:t>- Thường trực Tỉnh ủy;</w:t>
            </w:r>
          </w:p>
          <w:p w:rsidR="00107207" w:rsidRDefault="003E0D1A">
            <w:pPr>
              <w:rPr>
                <w:sz w:val="22"/>
                <w:szCs w:val="22"/>
                <w:lang w:val="de-DE"/>
              </w:rPr>
            </w:pPr>
            <w:r>
              <w:rPr>
                <w:sz w:val="22"/>
                <w:szCs w:val="22"/>
                <w:lang w:val="de-DE"/>
              </w:rPr>
              <w:t>- Thường trực HĐND tỉnh;</w:t>
            </w:r>
          </w:p>
          <w:p w:rsidR="00107207" w:rsidRDefault="003E0D1A">
            <w:pPr>
              <w:rPr>
                <w:sz w:val="22"/>
                <w:szCs w:val="22"/>
                <w:lang w:val="de-DE"/>
              </w:rPr>
            </w:pPr>
            <w:r>
              <w:rPr>
                <w:sz w:val="22"/>
                <w:szCs w:val="22"/>
                <w:lang w:val="de-DE"/>
              </w:rPr>
              <w:t>- Các Ban HĐND tỉnh;</w:t>
            </w:r>
          </w:p>
          <w:p w:rsidR="00107207" w:rsidRDefault="003E0D1A">
            <w:pPr>
              <w:rPr>
                <w:sz w:val="22"/>
                <w:szCs w:val="22"/>
                <w:lang w:val="de-DE"/>
              </w:rPr>
            </w:pPr>
            <w:r>
              <w:rPr>
                <w:sz w:val="22"/>
                <w:szCs w:val="22"/>
                <w:lang w:val="de-DE"/>
              </w:rPr>
              <w:t>- Các Đại biểu HĐND tỉnh;</w:t>
            </w:r>
          </w:p>
          <w:p w:rsidR="00107207" w:rsidRDefault="003E0D1A">
            <w:pPr>
              <w:rPr>
                <w:sz w:val="22"/>
                <w:szCs w:val="22"/>
                <w:lang w:val="de-DE"/>
              </w:rPr>
            </w:pPr>
            <w:r>
              <w:rPr>
                <w:sz w:val="22"/>
                <w:szCs w:val="22"/>
                <w:lang w:val="de-DE"/>
              </w:rPr>
              <w:t>- Chủ tịch, các PCT UBND tỉnh;</w:t>
            </w:r>
          </w:p>
          <w:p w:rsidR="00107207" w:rsidRDefault="003E0D1A">
            <w:pPr>
              <w:rPr>
                <w:sz w:val="22"/>
                <w:szCs w:val="22"/>
                <w:lang w:val="de-DE"/>
              </w:rPr>
            </w:pPr>
            <w:r>
              <w:rPr>
                <w:sz w:val="22"/>
                <w:szCs w:val="22"/>
                <w:lang w:val="de-DE"/>
              </w:rPr>
              <w:t>- Các Sở: TC, Nội vụ</w:t>
            </w:r>
            <w:r w:rsidR="0035562B">
              <w:rPr>
                <w:sz w:val="22"/>
                <w:szCs w:val="22"/>
                <w:lang w:val="de-DE"/>
              </w:rPr>
              <w:t>, NN và MT</w:t>
            </w:r>
            <w:r>
              <w:rPr>
                <w:sz w:val="22"/>
                <w:szCs w:val="22"/>
                <w:lang w:val="de-DE"/>
              </w:rPr>
              <w:t>;</w:t>
            </w:r>
          </w:p>
          <w:p w:rsidR="00107207" w:rsidRDefault="003E0D1A">
            <w:pPr>
              <w:rPr>
                <w:sz w:val="22"/>
                <w:szCs w:val="22"/>
                <w:lang w:val="de-DE"/>
              </w:rPr>
            </w:pPr>
            <w:r>
              <w:rPr>
                <w:sz w:val="22"/>
                <w:szCs w:val="22"/>
                <w:lang w:val="de-DE"/>
              </w:rPr>
              <w:t>- Chánh VP, các PCVP UBND tỉnh;</w:t>
            </w:r>
          </w:p>
          <w:p w:rsidR="00107207" w:rsidRDefault="003E0D1A">
            <w:pPr>
              <w:rPr>
                <w:sz w:val="22"/>
                <w:szCs w:val="22"/>
                <w:lang w:val="de-DE"/>
              </w:rPr>
            </w:pPr>
            <w:r>
              <w:rPr>
                <w:sz w:val="22"/>
                <w:szCs w:val="22"/>
                <w:lang w:val="de-DE"/>
              </w:rPr>
              <w:t>- Lưu: VT, NL</w:t>
            </w:r>
            <w:r>
              <w:rPr>
                <w:sz w:val="22"/>
                <w:szCs w:val="22"/>
                <w:vertAlign w:val="subscript"/>
                <w:lang w:val="de-DE"/>
              </w:rPr>
              <w:t>5</w:t>
            </w:r>
            <w:r>
              <w:rPr>
                <w:sz w:val="22"/>
                <w:szCs w:val="22"/>
                <w:lang w:val="de-DE"/>
              </w:rPr>
              <w:t>.</w:t>
            </w:r>
          </w:p>
          <w:p w:rsidR="00107207" w:rsidRDefault="00107207">
            <w:pPr>
              <w:rPr>
                <w:sz w:val="22"/>
                <w:szCs w:val="22"/>
                <w:lang w:val="de-DE"/>
              </w:rPr>
            </w:pPr>
          </w:p>
          <w:p w:rsidR="00107207" w:rsidRDefault="003E0D1A">
            <w:pPr>
              <w:tabs>
                <w:tab w:val="left" w:pos="1380"/>
              </w:tabs>
              <w:rPr>
                <w:lang w:val="de-DE"/>
              </w:rPr>
            </w:pPr>
            <w:r>
              <w:rPr>
                <w:lang w:val="de-DE"/>
              </w:rPr>
              <w:tab/>
            </w:r>
          </w:p>
        </w:tc>
        <w:tc>
          <w:tcPr>
            <w:tcW w:w="3969" w:type="dxa"/>
          </w:tcPr>
          <w:p w:rsidR="00107207" w:rsidRDefault="003E0D1A">
            <w:pPr>
              <w:jc w:val="center"/>
              <w:rPr>
                <w:b/>
                <w:bCs/>
                <w:sz w:val="26"/>
                <w:szCs w:val="26"/>
              </w:rPr>
            </w:pPr>
            <w:r>
              <w:rPr>
                <w:b/>
                <w:bCs/>
                <w:sz w:val="26"/>
                <w:szCs w:val="26"/>
              </w:rPr>
              <w:t>TM. UỶ BAN NHÂN DÂN</w:t>
            </w:r>
          </w:p>
          <w:p w:rsidR="00107207" w:rsidRDefault="003E0D1A">
            <w:pPr>
              <w:jc w:val="center"/>
              <w:rPr>
                <w:b/>
                <w:bCs/>
                <w:sz w:val="26"/>
                <w:szCs w:val="26"/>
              </w:rPr>
            </w:pPr>
            <w:r>
              <w:rPr>
                <w:b/>
                <w:bCs/>
                <w:sz w:val="26"/>
                <w:szCs w:val="26"/>
              </w:rPr>
              <w:t>KT. CHỦ TỊCH</w:t>
            </w:r>
          </w:p>
          <w:p w:rsidR="00107207" w:rsidRDefault="003E0D1A">
            <w:pPr>
              <w:jc w:val="center"/>
              <w:rPr>
                <w:b/>
                <w:bCs/>
                <w:sz w:val="26"/>
                <w:szCs w:val="26"/>
              </w:rPr>
            </w:pPr>
            <w:r>
              <w:rPr>
                <w:b/>
                <w:bCs/>
                <w:sz w:val="26"/>
                <w:szCs w:val="26"/>
              </w:rPr>
              <w:t>PHÓ CHỦ TỊCH</w:t>
            </w:r>
          </w:p>
          <w:p w:rsidR="00107207" w:rsidRDefault="00107207">
            <w:pPr>
              <w:jc w:val="center"/>
              <w:rPr>
                <w:b/>
                <w:bCs/>
                <w:sz w:val="26"/>
                <w:szCs w:val="26"/>
              </w:rPr>
            </w:pPr>
          </w:p>
          <w:p w:rsidR="00107207" w:rsidRDefault="00107207">
            <w:pPr>
              <w:jc w:val="center"/>
              <w:rPr>
                <w:b/>
                <w:bCs/>
                <w:sz w:val="26"/>
                <w:szCs w:val="26"/>
              </w:rPr>
            </w:pPr>
          </w:p>
          <w:p w:rsidR="00107207" w:rsidRDefault="00107207">
            <w:pPr>
              <w:jc w:val="center"/>
              <w:rPr>
                <w:b/>
                <w:bCs/>
                <w:sz w:val="26"/>
                <w:szCs w:val="26"/>
              </w:rPr>
            </w:pPr>
          </w:p>
          <w:p w:rsidR="00107207" w:rsidRDefault="00107207">
            <w:pPr>
              <w:jc w:val="center"/>
              <w:rPr>
                <w:b/>
                <w:bCs/>
                <w:sz w:val="26"/>
                <w:szCs w:val="26"/>
              </w:rPr>
            </w:pPr>
          </w:p>
          <w:p w:rsidR="00107207" w:rsidRDefault="00107207">
            <w:pPr>
              <w:jc w:val="center"/>
              <w:rPr>
                <w:b/>
                <w:bCs/>
                <w:sz w:val="26"/>
                <w:szCs w:val="26"/>
              </w:rPr>
            </w:pPr>
          </w:p>
          <w:p w:rsidR="00107207" w:rsidRDefault="00107207">
            <w:pPr>
              <w:jc w:val="center"/>
              <w:rPr>
                <w:b/>
                <w:bCs/>
                <w:sz w:val="26"/>
                <w:szCs w:val="26"/>
              </w:rPr>
            </w:pPr>
          </w:p>
          <w:p w:rsidR="00107207" w:rsidRDefault="00107207">
            <w:pPr>
              <w:jc w:val="center"/>
              <w:rPr>
                <w:b/>
                <w:bCs/>
                <w:sz w:val="26"/>
                <w:szCs w:val="26"/>
              </w:rPr>
            </w:pPr>
          </w:p>
          <w:p w:rsidR="00107207" w:rsidRDefault="00107207">
            <w:pPr>
              <w:jc w:val="center"/>
              <w:rPr>
                <w:b/>
                <w:bCs/>
                <w:sz w:val="26"/>
                <w:szCs w:val="26"/>
              </w:rPr>
            </w:pPr>
          </w:p>
          <w:p w:rsidR="00107207" w:rsidRDefault="003E0D1A">
            <w:pPr>
              <w:jc w:val="center"/>
              <w:rPr>
                <w:b/>
                <w:sz w:val="28"/>
                <w:szCs w:val="28"/>
              </w:rPr>
            </w:pPr>
            <w:r>
              <w:rPr>
                <w:b/>
                <w:sz w:val="28"/>
                <w:szCs w:val="28"/>
              </w:rPr>
              <w:t>Nguyễn Hồng Lĩnh</w:t>
            </w:r>
          </w:p>
        </w:tc>
      </w:tr>
    </w:tbl>
    <w:p w:rsidR="00107207" w:rsidRDefault="00107207">
      <w:pPr>
        <w:pStyle w:val="BodyText"/>
        <w:spacing w:before="120" w:line="240" w:lineRule="atLeast"/>
        <w:ind w:firstLine="720"/>
        <w:jc w:val="both"/>
        <w:rPr>
          <w:sz w:val="28"/>
          <w:szCs w:val="28"/>
          <w:lang w:val="nl-NL"/>
        </w:rPr>
        <w:sectPr w:rsidR="00107207">
          <w:headerReference w:type="default" r:id="rId9"/>
          <w:footerReference w:type="even" r:id="rId10"/>
          <w:footerReference w:type="first" r:id="rId11"/>
          <w:pgSz w:w="11907" w:h="16840" w:code="9"/>
          <w:pgMar w:top="1134" w:right="1134" w:bottom="1134" w:left="1701" w:header="567" w:footer="567" w:gutter="0"/>
          <w:pgNumType w:start="1"/>
          <w:cols w:space="720"/>
          <w:titlePg/>
          <w:docGrid w:linePitch="381"/>
        </w:sectPr>
      </w:pPr>
    </w:p>
    <w:p w:rsidR="00107207" w:rsidRDefault="003E0D1A">
      <w:pPr>
        <w:jc w:val="center"/>
        <w:rPr>
          <w:b/>
          <w:bCs/>
          <w:sz w:val="28"/>
          <w:szCs w:val="28"/>
        </w:rPr>
      </w:pPr>
      <w:r>
        <w:rPr>
          <w:b/>
          <w:sz w:val="28"/>
          <w:szCs w:val="28"/>
        </w:rPr>
        <w:lastRenderedPageBreak/>
        <w:t xml:space="preserve">Phụ lục 01: </w:t>
      </w:r>
      <w:bookmarkStart w:id="1" w:name="_Hlk195194375"/>
      <w:r>
        <w:rPr>
          <w:b/>
          <w:sz w:val="28"/>
          <w:szCs w:val="28"/>
        </w:rPr>
        <w:t xml:space="preserve">Bổ sung, </w:t>
      </w:r>
      <w:r>
        <w:rPr>
          <w:b/>
          <w:bCs/>
          <w:sz w:val="28"/>
          <w:szCs w:val="28"/>
          <w:lang w:val="pt-BR"/>
        </w:rPr>
        <w:t>đ</w:t>
      </w:r>
      <w:r>
        <w:rPr>
          <w:b/>
          <w:bCs/>
          <w:sz w:val="28"/>
          <w:szCs w:val="28"/>
        </w:rPr>
        <w:t xml:space="preserve">iều chỉnh Kế hoạch vốn đầu tư phát triển nguồn ngân sách Trung ương thực hiện </w:t>
      </w:r>
    </w:p>
    <w:p w:rsidR="00107207" w:rsidRDefault="003E0D1A">
      <w:pPr>
        <w:jc w:val="center"/>
        <w:rPr>
          <w:b/>
          <w:bCs/>
          <w:sz w:val="28"/>
          <w:szCs w:val="28"/>
        </w:rPr>
      </w:pPr>
      <w:r>
        <w:rPr>
          <w:b/>
          <w:bCs/>
          <w:sz w:val="28"/>
          <w:szCs w:val="28"/>
        </w:rPr>
        <w:t xml:space="preserve">Chương trình mục tiêu quốc gia xây dựng nông thôn mới giai đoạn 2022-2025 và phân bổ kế hoạch vốn năm 2025 </w:t>
      </w:r>
    </w:p>
    <w:bookmarkEnd w:id="1"/>
    <w:p w:rsidR="00107207" w:rsidRDefault="003E0D1A">
      <w:pPr>
        <w:jc w:val="center"/>
        <w:rPr>
          <w:i/>
          <w:sz w:val="28"/>
          <w:szCs w:val="28"/>
        </w:rPr>
      </w:pPr>
      <w:r>
        <w:rPr>
          <w:i/>
          <w:iCs/>
          <w:sz w:val="28"/>
          <w:szCs w:val="28"/>
        </w:rPr>
        <w:t>(Kèm theo Tờ trình số          /TTr-UBND ngày     /      /2025 của UBND tỉnh</w:t>
      </w:r>
      <w:r>
        <w:rPr>
          <w:i/>
          <w:sz w:val="28"/>
          <w:szCs w:val="28"/>
        </w:rPr>
        <w:t>)</w:t>
      </w:r>
    </w:p>
    <w:p w:rsidR="00107207" w:rsidRDefault="003E0D1A">
      <w:pPr>
        <w:widowControl w:val="0"/>
        <w:jc w:val="right"/>
        <w:rPr>
          <w:i/>
          <w:iCs/>
          <w:sz w:val="28"/>
          <w:szCs w:val="28"/>
        </w:rPr>
      </w:pPr>
      <w:r>
        <w:rPr>
          <w:i/>
          <w:iCs/>
          <w:sz w:val="28"/>
          <w:szCs w:val="28"/>
        </w:rPr>
        <w:t>Đơn vị tính: triệu đồng</w:t>
      </w:r>
    </w:p>
    <w:p w:rsidR="00107207" w:rsidRDefault="00107207">
      <w:pPr>
        <w:widowControl w:val="0"/>
        <w:rPr>
          <w:sz w:val="2"/>
        </w:rPr>
      </w:pPr>
    </w:p>
    <w:tbl>
      <w:tblPr>
        <w:tblW w:w="14898" w:type="dxa"/>
        <w:tblInd w:w="113" w:type="dxa"/>
        <w:tblLook w:val="04A0" w:firstRow="1" w:lastRow="0" w:firstColumn="1" w:lastColumn="0" w:noHBand="0" w:noVBand="1"/>
      </w:tblPr>
      <w:tblGrid>
        <w:gridCol w:w="939"/>
        <w:gridCol w:w="4018"/>
        <w:gridCol w:w="960"/>
        <w:gridCol w:w="923"/>
        <w:gridCol w:w="1317"/>
        <w:gridCol w:w="923"/>
        <w:gridCol w:w="1505"/>
        <w:gridCol w:w="1885"/>
        <w:gridCol w:w="2428"/>
      </w:tblGrid>
      <w:tr w:rsidR="00107207">
        <w:trPr>
          <w:trHeight w:val="1620"/>
        </w:trPr>
        <w:tc>
          <w:tcPr>
            <w:tcW w:w="9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7207" w:rsidRDefault="003E0D1A">
            <w:pPr>
              <w:jc w:val="center"/>
              <w:rPr>
                <w:b/>
                <w:bCs/>
                <w:color w:val="000000"/>
              </w:rPr>
            </w:pPr>
            <w:r>
              <w:rPr>
                <w:b/>
                <w:bCs/>
                <w:color w:val="000000"/>
              </w:rPr>
              <w:t>STT</w:t>
            </w:r>
          </w:p>
        </w:tc>
        <w:tc>
          <w:tcPr>
            <w:tcW w:w="40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7207" w:rsidRDefault="003E0D1A">
            <w:pPr>
              <w:jc w:val="center"/>
              <w:rPr>
                <w:b/>
                <w:bCs/>
                <w:color w:val="000000"/>
              </w:rPr>
            </w:pPr>
            <w:r>
              <w:rPr>
                <w:b/>
                <w:bCs/>
                <w:color w:val="000000"/>
              </w:rPr>
              <w:t>Dự án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7207" w:rsidRDefault="003E0D1A">
            <w:pPr>
              <w:jc w:val="center"/>
              <w:rPr>
                <w:b/>
                <w:bCs/>
                <w:color w:val="000000"/>
              </w:rPr>
            </w:pPr>
            <w:r>
              <w:rPr>
                <w:b/>
                <w:bCs/>
                <w:color w:val="000000"/>
              </w:rPr>
              <w:t xml:space="preserve">Tổng mức đầu tư </w:t>
            </w:r>
          </w:p>
        </w:tc>
        <w:tc>
          <w:tcPr>
            <w:tcW w:w="2240" w:type="dxa"/>
            <w:gridSpan w:val="2"/>
            <w:tcBorders>
              <w:top w:val="single" w:sz="4" w:space="0" w:color="auto"/>
              <w:left w:val="nil"/>
              <w:bottom w:val="single" w:sz="4" w:space="0" w:color="auto"/>
              <w:right w:val="single" w:sz="4" w:space="0" w:color="auto"/>
            </w:tcBorders>
            <w:shd w:val="clear" w:color="auto" w:fill="auto"/>
            <w:vAlign w:val="center"/>
            <w:hideMark/>
          </w:tcPr>
          <w:p w:rsidR="00107207" w:rsidRDefault="003E0D1A">
            <w:pPr>
              <w:jc w:val="center"/>
              <w:rPr>
                <w:b/>
                <w:bCs/>
                <w:color w:val="000000"/>
              </w:rPr>
            </w:pPr>
            <w:r>
              <w:rPr>
                <w:b/>
                <w:bCs/>
                <w:color w:val="000000"/>
              </w:rPr>
              <w:t>Kế hoạch vốn giai đoạn 2022-2025 theo Nghị quyết số 94/NQ-HĐND của HĐND tỉnh</w:t>
            </w:r>
          </w:p>
        </w:tc>
        <w:tc>
          <w:tcPr>
            <w:tcW w:w="2428" w:type="dxa"/>
            <w:gridSpan w:val="2"/>
            <w:tcBorders>
              <w:top w:val="single" w:sz="4" w:space="0" w:color="auto"/>
              <w:left w:val="nil"/>
              <w:bottom w:val="single" w:sz="4" w:space="0" w:color="auto"/>
              <w:right w:val="single" w:sz="4" w:space="0" w:color="auto"/>
            </w:tcBorders>
            <w:shd w:val="clear" w:color="auto" w:fill="auto"/>
            <w:vAlign w:val="center"/>
            <w:hideMark/>
          </w:tcPr>
          <w:p w:rsidR="00107207" w:rsidRDefault="003E0D1A">
            <w:pPr>
              <w:jc w:val="center"/>
              <w:rPr>
                <w:b/>
                <w:bCs/>
                <w:color w:val="000000"/>
              </w:rPr>
            </w:pPr>
            <w:r>
              <w:rPr>
                <w:b/>
                <w:bCs/>
                <w:color w:val="000000"/>
              </w:rPr>
              <w:t>Kế hoạch vốn giai đoạn 2022 - 2025 sau khi bổ sung, điều chỉnh</w:t>
            </w:r>
          </w:p>
        </w:tc>
        <w:tc>
          <w:tcPr>
            <w:tcW w:w="1885" w:type="dxa"/>
            <w:vMerge w:val="restart"/>
            <w:tcBorders>
              <w:top w:val="single" w:sz="4" w:space="0" w:color="auto"/>
              <w:left w:val="nil"/>
              <w:right w:val="single" w:sz="4" w:space="0" w:color="auto"/>
            </w:tcBorders>
            <w:vAlign w:val="center"/>
          </w:tcPr>
          <w:p w:rsidR="00107207" w:rsidRDefault="003E0D1A">
            <w:pPr>
              <w:jc w:val="center"/>
              <w:rPr>
                <w:b/>
                <w:bCs/>
                <w:color w:val="000000"/>
              </w:rPr>
            </w:pPr>
            <w:r>
              <w:rPr>
                <w:b/>
                <w:bCs/>
                <w:color w:val="000000"/>
              </w:rPr>
              <w:t>Kế hoạch vốn năm 2025</w:t>
            </w:r>
          </w:p>
        </w:tc>
        <w:tc>
          <w:tcPr>
            <w:tcW w:w="2428" w:type="dxa"/>
            <w:vMerge w:val="restart"/>
            <w:tcBorders>
              <w:top w:val="single" w:sz="4" w:space="0" w:color="auto"/>
              <w:left w:val="nil"/>
              <w:right w:val="single" w:sz="4" w:space="0" w:color="auto"/>
            </w:tcBorders>
            <w:vAlign w:val="center"/>
          </w:tcPr>
          <w:p w:rsidR="00107207" w:rsidRDefault="003E0D1A">
            <w:pPr>
              <w:jc w:val="center"/>
              <w:rPr>
                <w:b/>
                <w:bCs/>
                <w:color w:val="000000"/>
              </w:rPr>
            </w:pPr>
            <w:r>
              <w:rPr>
                <w:b/>
                <w:bCs/>
                <w:color w:val="000000"/>
              </w:rPr>
              <w:t>Đơn vị thực hiện</w:t>
            </w:r>
          </w:p>
        </w:tc>
      </w:tr>
      <w:tr w:rsidR="00107207">
        <w:trPr>
          <w:trHeight w:val="1500"/>
        </w:trPr>
        <w:tc>
          <w:tcPr>
            <w:tcW w:w="939" w:type="dxa"/>
            <w:vMerge/>
            <w:tcBorders>
              <w:top w:val="single" w:sz="4" w:space="0" w:color="auto"/>
              <w:left w:val="single" w:sz="4" w:space="0" w:color="auto"/>
              <w:bottom w:val="single" w:sz="4" w:space="0" w:color="auto"/>
              <w:right w:val="single" w:sz="4" w:space="0" w:color="auto"/>
            </w:tcBorders>
            <w:vAlign w:val="center"/>
            <w:hideMark/>
          </w:tcPr>
          <w:p w:rsidR="00107207" w:rsidRDefault="00107207">
            <w:pPr>
              <w:rPr>
                <w:b/>
                <w:bCs/>
                <w:color w:val="000000"/>
              </w:rPr>
            </w:pPr>
          </w:p>
        </w:tc>
        <w:tc>
          <w:tcPr>
            <w:tcW w:w="4018" w:type="dxa"/>
            <w:vMerge/>
            <w:tcBorders>
              <w:top w:val="single" w:sz="4" w:space="0" w:color="auto"/>
              <w:left w:val="single" w:sz="4" w:space="0" w:color="auto"/>
              <w:bottom w:val="single" w:sz="4" w:space="0" w:color="auto"/>
              <w:right w:val="single" w:sz="4" w:space="0" w:color="auto"/>
            </w:tcBorders>
            <w:vAlign w:val="center"/>
            <w:hideMark/>
          </w:tcPr>
          <w:p w:rsidR="00107207" w:rsidRDefault="00107207">
            <w:pPr>
              <w:rPr>
                <w:b/>
                <w:bCs/>
                <w:color w:val="00000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07207" w:rsidRDefault="00107207">
            <w:pPr>
              <w:rPr>
                <w:b/>
                <w:bCs/>
                <w:color w:val="000000"/>
              </w:rPr>
            </w:pPr>
          </w:p>
        </w:tc>
        <w:tc>
          <w:tcPr>
            <w:tcW w:w="923" w:type="dxa"/>
            <w:tcBorders>
              <w:top w:val="nil"/>
              <w:left w:val="nil"/>
              <w:bottom w:val="single" w:sz="4" w:space="0" w:color="auto"/>
              <w:right w:val="single" w:sz="4" w:space="0" w:color="auto"/>
            </w:tcBorders>
            <w:shd w:val="clear" w:color="auto" w:fill="auto"/>
            <w:noWrap/>
            <w:vAlign w:val="center"/>
            <w:hideMark/>
          </w:tcPr>
          <w:p w:rsidR="00107207" w:rsidRDefault="003E0D1A">
            <w:pPr>
              <w:jc w:val="center"/>
              <w:rPr>
                <w:b/>
                <w:bCs/>
                <w:color w:val="000000"/>
              </w:rPr>
            </w:pPr>
            <w:r>
              <w:rPr>
                <w:b/>
                <w:bCs/>
                <w:color w:val="000000"/>
              </w:rPr>
              <w:t>NSTW</w:t>
            </w:r>
          </w:p>
        </w:tc>
        <w:tc>
          <w:tcPr>
            <w:tcW w:w="1317" w:type="dxa"/>
            <w:tcBorders>
              <w:top w:val="nil"/>
              <w:left w:val="nil"/>
              <w:bottom w:val="single" w:sz="4" w:space="0" w:color="auto"/>
              <w:right w:val="single" w:sz="4" w:space="0" w:color="auto"/>
            </w:tcBorders>
            <w:shd w:val="clear" w:color="auto" w:fill="auto"/>
            <w:vAlign w:val="center"/>
            <w:hideMark/>
          </w:tcPr>
          <w:p w:rsidR="00107207" w:rsidRDefault="003E0D1A">
            <w:pPr>
              <w:jc w:val="center"/>
              <w:rPr>
                <w:b/>
                <w:bCs/>
                <w:color w:val="000000"/>
              </w:rPr>
            </w:pPr>
            <w:r>
              <w:rPr>
                <w:b/>
                <w:bCs/>
                <w:color w:val="000000"/>
              </w:rPr>
              <w:t>Ngân sách xã và nhân dân đóng góp</w:t>
            </w:r>
          </w:p>
        </w:tc>
        <w:tc>
          <w:tcPr>
            <w:tcW w:w="923" w:type="dxa"/>
            <w:tcBorders>
              <w:top w:val="nil"/>
              <w:left w:val="nil"/>
              <w:bottom w:val="single" w:sz="4" w:space="0" w:color="auto"/>
              <w:right w:val="single" w:sz="4" w:space="0" w:color="auto"/>
            </w:tcBorders>
            <w:shd w:val="clear" w:color="auto" w:fill="auto"/>
            <w:noWrap/>
            <w:vAlign w:val="center"/>
            <w:hideMark/>
          </w:tcPr>
          <w:p w:rsidR="00107207" w:rsidRDefault="003E0D1A">
            <w:pPr>
              <w:jc w:val="center"/>
              <w:rPr>
                <w:b/>
                <w:bCs/>
                <w:color w:val="000000"/>
              </w:rPr>
            </w:pPr>
            <w:r>
              <w:rPr>
                <w:b/>
                <w:bCs/>
                <w:color w:val="000000"/>
              </w:rPr>
              <w:t>NSTW</w:t>
            </w:r>
          </w:p>
        </w:tc>
        <w:tc>
          <w:tcPr>
            <w:tcW w:w="1505" w:type="dxa"/>
            <w:tcBorders>
              <w:top w:val="nil"/>
              <w:left w:val="nil"/>
              <w:bottom w:val="single" w:sz="4" w:space="0" w:color="auto"/>
              <w:right w:val="single" w:sz="4" w:space="0" w:color="auto"/>
            </w:tcBorders>
            <w:shd w:val="clear" w:color="auto" w:fill="auto"/>
            <w:vAlign w:val="center"/>
            <w:hideMark/>
          </w:tcPr>
          <w:p w:rsidR="00107207" w:rsidRDefault="003E0D1A">
            <w:pPr>
              <w:jc w:val="center"/>
              <w:rPr>
                <w:b/>
                <w:bCs/>
                <w:color w:val="000000"/>
              </w:rPr>
            </w:pPr>
            <w:r>
              <w:rPr>
                <w:b/>
                <w:bCs/>
                <w:color w:val="000000"/>
              </w:rPr>
              <w:t>Ngân sách xã và nhân dân đóng góp</w:t>
            </w:r>
          </w:p>
        </w:tc>
        <w:tc>
          <w:tcPr>
            <w:tcW w:w="1885" w:type="dxa"/>
            <w:vMerge/>
            <w:tcBorders>
              <w:left w:val="nil"/>
              <w:bottom w:val="single" w:sz="4" w:space="0" w:color="auto"/>
              <w:right w:val="single" w:sz="4" w:space="0" w:color="auto"/>
            </w:tcBorders>
            <w:vAlign w:val="center"/>
          </w:tcPr>
          <w:p w:rsidR="00107207" w:rsidRDefault="00107207">
            <w:pPr>
              <w:jc w:val="center"/>
              <w:rPr>
                <w:b/>
                <w:bCs/>
                <w:color w:val="000000"/>
              </w:rPr>
            </w:pPr>
          </w:p>
        </w:tc>
        <w:tc>
          <w:tcPr>
            <w:tcW w:w="2428" w:type="dxa"/>
            <w:vMerge/>
            <w:tcBorders>
              <w:left w:val="nil"/>
              <w:bottom w:val="single" w:sz="4" w:space="0" w:color="auto"/>
              <w:right w:val="single" w:sz="4" w:space="0" w:color="auto"/>
            </w:tcBorders>
          </w:tcPr>
          <w:p w:rsidR="00107207" w:rsidRDefault="00107207">
            <w:pPr>
              <w:jc w:val="center"/>
              <w:rPr>
                <w:b/>
                <w:bCs/>
                <w:color w:val="000000"/>
              </w:rPr>
            </w:pPr>
          </w:p>
        </w:tc>
      </w:tr>
      <w:tr w:rsidR="00107207">
        <w:trPr>
          <w:trHeight w:val="310"/>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107207" w:rsidRDefault="003E0D1A">
            <w:pPr>
              <w:jc w:val="center"/>
              <w:rPr>
                <w:b/>
                <w:bCs/>
                <w:color w:val="000000"/>
              </w:rPr>
            </w:pPr>
            <w:r>
              <w:rPr>
                <w:b/>
                <w:bCs/>
                <w:color w:val="000000"/>
              </w:rPr>
              <w:t> </w:t>
            </w:r>
          </w:p>
        </w:tc>
        <w:tc>
          <w:tcPr>
            <w:tcW w:w="4018" w:type="dxa"/>
            <w:tcBorders>
              <w:top w:val="nil"/>
              <w:left w:val="nil"/>
              <w:bottom w:val="single" w:sz="4" w:space="0" w:color="auto"/>
              <w:right w:val="single" w:sz="4" w:space="0" w:color="auto"/>
            </w:tcBorders>
            <w:shd w:val="clear" w:color="auto" w:fill="auto"/>
            <w:vAlign w:val="center"/>
            <w:hideMark/>
          </w:tcPr>
          <w:p w:rsidR="00107207" w:rsidRDefault="003E0D1A">
            <w:pPr>
              <w:jc w:val="center"/>
              <w:rPr>
                <w:b/>
                <w:bCs/>
                <w:color w:val="000000"/>
              </w:rPr>
            </w:pPr>
            <w:r>
              <w:rPr>
                <w:b/>
                <w:bCs/>
                <w:color w:val="000000"/>
              </w:rPr>
              <w:t>Tổng số</w:t>
            </w:r>
          </w:p>
        </w:tc>
        <w:tc>
          <w:tcPr>
            <w:tcW w:w="960" w:type="dxa"/>
            <w:tcBorders>
              <w:top w:val="nil"/>
              <w:left w:val="nil"/>
              <w:bottom w:val="single" w:sz="4" w:space="0" w:color="auto"/>
              <w:right w:val="single" w:sz="4" w:space="0" w:color="auto"/>
            </w:tcBorders>
            <w:shd w:val="clear" w:color="auto" w:fill="auto"/>
            <w:noWrap/>
            <w:vAlign w:val="center"/>
            <w:hideMark/>
          </w:tcPr>
          <w:p w:rsidR="00107207" w:rsidRDefault="003E0D1A">
            <w:pPr>
              <w:jc w:val="right"/>
              <w:rPr>
                <w:color w:val="000000"/>
              </w:rPr>
            </w:pPr>
            <w:r>
              <w:rPr>
                <w:color w:val="000000"/>
              </w:rPr>
              <w:t>11.200</w:t>
            </w:r>
          </w:p>
        </w:tc>
        <w:tc>
          <w:tcPr>
            <w:tcW w:w="923" w:type="dxa"/>
            <w:tcBorders>
              <w:top w:val="nil"/>
              <w:left w:val="nil"/>
              <w:bottom w:val="single" w:sz="4" w:space="0" w:color="auto"/>
              <w:right w:val="single" w:sz="4" w:space="0" w:color="auto"/>
            </w:tcBorders>
            <w:shd w:val="clear" w:color="auto" w:fill="auto"/>
            <w:noWrap/>
            <w:vAlign w:val="center"/>
            <w:hideMark/>
          </w:tcPr>
          <w:p w:rsidR="00107207" w:rsidRDefault="003E0D1A">
            <w:pPr>
              <w:jc w:val="right"/>
              <w:rPr>
                <w:color w:val="000000"/>
              </w:rPr>
            </w:pPr>
            <w:r>
              <w:rPr>
                <w:color w:val="000000"/>
              </w:rPr>
              <w:t>5.500</w:t>
            </w:r>
          </w:p>
        </w:tc>
        <w:tc>
          <w:tcPr>
            <w:tcW w:w="1317" w:type="dxa"/>
            <w:tcBorders>
              <w:top w:val="nil"/>
              <w:left w:val="nil"/>
              <w:bottom w:val="single" w:sz="4" w:space="0" w:color="auto"/>
              <w:right w:val="single" w:sz="4" w:space="0" w:color="auto"/>
            </w:tcBorders>
            <w:shd w:val="clear" w:color="auto" w:fill="auto"/>
            <w:noWrap/>
            <w:vAlign w:val="center"/>
            <w:hideMark/>
          </w:tcPr>
          <w:p w:rsidR="00107207" w:rsidRDefault="003E0D1A">
            <w:pPr>
              <w:jc w:val="right"/>
              <w:rPr>
                <w:color w:val="000000"/>
              </w:rPr>
            </w:pPr>
            <w:r>
              <w:rPr>
                <w:color w:val="000000"/>
              </w:rPr>
              <w:t>5.700</w:t>
            </w:r>
          </w:p>
        </w:tc>
        <w:tc>
          <w:tcPr>
            <w:tcW w:w="923" w:type="dxa"/>
            <w:tcBorders>
              <w:top w:val="nil"/>
              <w:left w:val="nil"/>
              <w:bottom w:val="single" w:sz="4" w:space="0" w:color="auto"/>
              <w:right w:val="single" w:sz="4" w:space="0" w:color="auto"/>
            </w:tcBorders>
            <w:shd w:val="clear" w:color="auto" w:fill="auto"/>
            <w:noWrap/>
            <w:vAlign w:val="center"/>
            <w:hideMark/>
          </w:tcPr>
          <w:p w:rsidR="00107207" w:rsidRDefault="003E0D1A">
            <w:pPr>
              <w:jc w:val="right"/>
              <w:rPr>
                <w:color w:val="000000"/>
              </w:rPr>
            </w:pPr>
            <w:r>
              <w:rPr>
                <w:color w:val="000000"/>
              </w:rPr>
              <w:t>5.950</w:t>
            </w:r>
          </w:p>
        </w:tc>
        <w:tc>
          <w:tcPr>
            <w:tcW w:w="1505" w:type="dxa"/>
            <w:tcBorders>
              <w:top w:val="nil"/>
              <w:left w:val="nil"/>
              <w:bottom w:val="single" w:sz="4" w:space="0" w:color="auto"/>
              <w:right w:val="single" w:sz="4" w:space="0" w:color="auto"/>
            </w:tcBorders>
            <w:shd w:val="clear" w:color="auto" w:fill="auto"/>
            <w:noWrap/>
            <w:vAlign w:val="center"/>
            <w:hideMark/>
          </w:tcPr>
          <w:p w:rsidR="00107207" w:rsidRDefault="003E0D1A">
            <w:pPr>
              <w:jc w:val="right"/>
              <w:rPr>
                <w:color w:val="000000"/>
              </w:rPr>
            </w:pPr>
            <w:r>
              <w:rPr>
                <w:color w:val="000000"/>
              </w:rPr>
              <w:t>5.250</w:t>
            </w:r>
          </w:p>
        </w:tc>
        <w:tc>
          <w:tcPr>
            <w:tcW w:w="1885" w:type="dxa"/>
            <w:tcBorders>
              <w:top w:val="nil"/>
              <w:left w:val="nil"/>
              <w:bottom w:val="single" w:sz="4" w:space="0" w:color="auto"/>
              <w:right w:val="single" w:sz="4" w:space="0" w:color="auto"/>
            </w:tcBorders>
          </w:tcPr>
          <w:p w:rsidR="00107207" w:rsidRDefault="003E0D1A">
            <w:pPr>
              <w:jc w:val="right"/>
              <w:rPr>
                <w:color w:val="000000"/>
              </w:rPr>
            </w:pPr>
            <w:r>
              <w:rPr>
                <w:color w:val="000000"/>
              </w:rPr>
              <w:t>450</w:t>
            </w:r>
          </w:p>
        </w:tc>
        <w:tc>
          <w:tcPr>
            <w:tcW w:w="2428" w:type="dxa"/>
            <w:tcBorders>
              <w:top w:val="nil"/>
              <w:left w:val="nil"/>
              <w:bottom w:val="single" w:sz="4" w:space="0" w:color="auto"/>
              <w:right w:val="single" w:sz="4" w:space="0" w:color="auto"/>
            </w:tcBorders>
          </w:tcPr>
          <w:p w:rsidR="00107207" w:rsidRDefault="00107207">
            <w:pPr>
              <w:jc w:val="right"/>
              <w:rPr>
                <w:color w:val="000000"/>
              </w:rPr>
            </w:pPr>
          </w:p>
        </w:tc>
      </w:tr>
      <w:tr w:rsidR="00107207">
        <w:trPr>
          <w:trHeight w:val="1560"/>
        </w:trPr>
        <w:tc>
          <w:tcPr>
            <w:tcW w:w="939" w:type="dxa"/>
            <w:tcBorders>
              <w:top w:val="nil"/>
              <w:left w:val="single" w:sz="4" w:space="0" w:color="auto"/>
              <w:bottom w:val="single" w:sz="4" w:space="0" w:color="auto"/>
              <w:right w:val="single" w:sz="4" w:space="0" w:color="auto"/>
            </w:tcBorders>
            <w:shd w:val="clear" w:color="auto" w:fill="auto"/>
            <w:vAlign w:val="center"/>
            <w:hideMark/>
          </w:tcPr>
          <w:p w:rsidR="00107207" w:rsidRDefault="003E0D1A">
            <w:pPr>
              <w:jc w:val="center"/>
              <w:rPr>
                <w:color w:val="000000"/>
              </w:rPr>
            </w:pPr>
            <w:r>
              <w:rPr>
                <w:color w:val="000000"/>
              </w:rPr>
              <w:t> </w:t>
            </w:r>
          </w:p>
        </w:tc>
        <w:tc>
          <w:tcPr>
            <w:tcW w:w="4018" w:type="dxa"/>
            <w:tcBorders>
              <w:top w:val="nil"/>
              <w:left w:val="nil"/>
              <w:bottom w:val="single" w:sz="4" w:space="0" w:color="auto"/>
              <w:right w:val="single" w:sz="4" w:space="0" w:color="auto"/>
            </w:tcBorders>
            <w:shd w:val="clear" w:color="auto" w:fill="auto"/>
            <w:vAlign w:val="center"/>
            <w:hideMark/>
          </w:tcPr>
          <w:p w:rsidR="00107207" w:rsidRDefault="003E0D1A">
            <w:pPr>
              <w:rPr>
                <w:color w:val="000000"/>
              </w:rPr>
            </w:pPr>
            <w:r>
              <w:rPr>
                <w:color w:val="000000"/>
              </w:rPr>
              <w:t xml:space="preserve">Mở rộng mạng lưới cấp nước nhà máy nước Nghi Xuân cấp cho xã Xuân Hải, huyện Nghi Xuân </w:t>
            </w:r>
          </w:p>
        </w:tc>
        <w:tc>
          <w:tcPr>
            <w:tcW w:w="960" w:type="dxa"/>
            <w:tcBorders>
              <w:top w:val="nil"/>
              <w:left w:val="nil"/>
              <w:bottom w:val="single" w:sz="4" w:space="0" w:color="auto"/>
              <w:right w:val="single" w:sz="4" w:space="0" w:color="auto"/>
            </w:tcBorders>
            <w:shd w:val="clear" w:color="auto" w:fill="auto"/>
            <w:noWrap/>
            <w:vAlign w:val="center"/>
            <w:hideMark/>
          </w:tcPr>
          <w:p w:rsidR="00107207" w:rsidRDefault="003E0D1A">
            <w:pPr>
              <w:jc w:val="right"/>
              <w:rPr>
                <w:color w:val="000000"/>
              </w:rPr>
            </w:pPr>
            <w:r>
              <w:rPr>
                <w:color w:val="000000"/>
              </w:rPr>
              <w:t>11.200</w:t>
            </w:r>
          </w:p>
        </w:tc>
        <w:tc>
          <w:tcPr>
            <w:tcW w:w="923" w:type="dxa"/>
            <w:tcBorders>
              <w:top w:val="nil"/>
              <w:left w:val="nil"/>
              <w:bottom w:val="single" w:sz="4" w:space="0" w:color="auto"/>
              <w:right w:val="single" w:sz="4" w:space="0" w:color="auto"/>
            </w:tcBorders>
            <w:shd w:val="clear" w:color="auto" w:fill="auto"/>
            <w:noWrap/>
            <w:vAlign w:val="center"/>
            <w:hideMark/>
          </w:tcPr>
          <w:p w:rsidR="00107207" w:rsidRDefault="003E0D1A">
            <w:pPr>
              <w:jc w:val="right"/>
              <w:rPr>
                <w:color w:val="000000"/>
              </w:rPr>
            </w:pPr>
            <w:r>
              <w:rPr>
                <w:color w:val="000000"/>
              </w:rPr>
              <w:t>5.500</w:t>
            </w:r>
          </w:p>
        </w:tc>
        <w:tc>
          <w:tcPr>
            <w:tcW w:w="1317" w:type="dxa"/>
            <w:tcBorders>
              <w:top w:val="nil"/>
              <w:left w:val="nil"/>
              <w:bottom w:val="single" w:sz="4" w:space="0" w:color="auto"/>
              <w:right w:val="single" w:sz="4" w:space="0" w:color="auto"/>
            </w:tcBorders>
            <w:shd w:val="clear" w:color="auto" w:fill="auto"/>
            <w:noWrap/>
            <w:vAlign w:val="center"/>
            <w:hideMark/>
          </w:tcPr>
          <w:p w:rsidR="00107207" w:rsidRDefault="003E0D1A">
            <w:pPr>
              <w:jc w:val="right"/>
              <w:rPr>
                <w:color w:val="000000"/>
              </w:rPr>
            </w:pPr>
            <w:r>
              <w:rPr>
                <w:color w:val="000000"/>
              </w:rPr>
              <w:t>5.700</w:t>
            </w:r>
          </w:p>
        </w:tc>
        <w:tc>
          <w:tcPr>
            <w:tcW w:w="923" w:type="dxa"/>
            <w:tcBorders>
              <w:top w:val="nil"/>
              <w:left w:val="nil"/>
              <w:bottom w:val="single" w:sz="4" w:space="0" w:color="auto"/>
              <w:right w:val="single" w:sz="4" w:space="0" w:color="auto"/>
            </w:tcBorders>
            <w:shd w:val="clear" w:color="auto" w:fill="auto"/>
            <w:noWrap/>
            <w:vAlign w:val="center"/>
            <w:hideMark/>
          </w:tcPr>
          <w:p w:rsidR="00107207" w:rsidRDefault="003E0D1A">
            <w:pPr>
              <w:jc w:val="right"/>
              <w:rPr>
                <w:color w:val="000000"/>
              </w:rPr>
            </w:pPr>
            <w:r>
              <w:rPr>
                <w:color w:val="000000"/>
              </w:rPr>
              <w:t>5.950</w:t>
            </w:r>
          </w:p>
        </w:tc>
        <w:tc>
          <w:tcPr>
            <w:tcW w:w="1505" w:type="dxa"/>
            <w:tcBorders>
              <w:top w:val="nil"/>
              <w:left w:val="nil"/>
              <w:bottom w:val="single" w:sz="4" w:space="0" w:color="auto"/>
              <w:right w:val="single" w:sz="4" w:space="0" w:color="auto"/>
            </w:tcBorders>
            <w:shd w:val="clear" w:color="auto" w:fill="auto"/>
            <w:noWrap/>
            <w:vAlign w:val="center"/>
            <w:hideMark/>
          </w:tcPr>
          <w:p w:rsidR="00107207" w:rsidRDefault="003E0D1A">
            <w:pPr>
              <w:jc w:val="right"/>
              <w:rPr>
                <w:color w:val="000000"/>
              </w:rPr>
            </w:pPr>
            <w:r>
              <w:rPr>
                <w:color w:val="000000"/>
              </w:rPr>
              <w:t>5.250</w:t>
            </w:r>
          </w:p>
        </w:tc>
        <w:tc>
          <w:tcPr>
            <w:tcW w:w="1885" w:type="dxa"/>
            <w:tcBorders>
              <w:top w:val="nil"/>
              <w:left w:val="nil"/>
              <w:bottom w:val="single" w:sz="4" w:space="0" w:color="auto"/>
              <w:right w:val="single" w:sz="4" w:space="0" w:color="auto"/>
            </w:tcBorders>
            <w:vAlign w:val="center"/>
          </w:tcPr>
          <w:p w:rsidR="00107207" w:rsidRDefault="003E0D1A">
            <w:pPr>
              <w:jc w:val="right"/>
              <w:rPr>
                <w:color w:val="000000"/>
              </w:rPr>
            </w:pPr>
            <w:r>
              <w:rPr>
                <w:color w:val="000000"/>
              </w:rPr>
              <w:t>450</w:t>
            </w:r>
          </w:p>
        </w:tc>
        <w:tc>
          <w:tcPr>
            <w:tcW w:w="2428" w:type="dxa"/>
            <w:tcBorders>
              <w:top w:val="nil"/>
              <w:left w:val="nil"/>
              <w:bottom w:val="single" w:sz="4" w:space="0" w:color="auto"/>
              <w:right w:val="single" w:sz="4" w:space="0" w:color="auto"/>
            </w:tcBorders>
            <w:vAlign w:val="center"/>
          </w:tcPr>
          <w:p w:rsidR="00107207" w:rsidRDefault="003E0D1A">
            <w:pPr>
              <w:jc w:val="center"/>
              <w:rPr>
                <w:color w:val="000000"/>
              </w:rPr>
            </w:pPr>
            <w:r>
              <w:t>Ban QLDA ĐTXDCT Nông nghiệp và Dân dụng tỉnh</w:t>
            </w:r>
          </w:p>
        </w:tc>
      </w:tr>
    </w:tbl>
    <w:p w:rsidR="00107207" w:rsidRDefault="00107207">
      <w:pPr>
        <w:widowControl w:val="0"/>
        <w:rPr>
          <w:sz w:val="2"/>
        </w:rPr>
      </w:pPr>
    </w:p>
    <w:p w:rsidR="00107207" w:rsidRDefault="00107207">
      <w:pPr>
        <w:widowControl w:val="0"/>
        <w:rPr>
          <w:sz w:val="2"/>
        </w:rPr>
      </w:pPr>
    </w:p>
    <w:p w:rsidR="00107207" w:rsidRDefault="00107207">
      <w:pPr>
        <w:widowControl w:val="0"/>
        <w:rPr>
          <w:sz w:val="2"/>
        </w:rPr>
      </w:pPr>
    </w:p>
    <w:p w:rsidR="00107207" w:rsidRDefault="00107207">
      <w:pPr>
        <w:jc w:val="center"/>
        <w:rPr>
          <w:b/>
          <w:bCs/>
          <w:color w:val="000000"/>
          <w:sz w:val="28"/>
          <w:szCs w:val="28"/>
        </w:rPr>
        <w:sectPr w:rsidR="00107207">
          <w:pgSz w:w="16840" w:h="11907" w:orient="landscape" w:code="9"/>
          <w:pgMar w:top="1134" w:right="993" w:bottom="1134" w:left="851" w:header="567" w:footer="567" w:gutter="0"/>
          <w:pgNumType w:start="1"/>
          <w:cols w:space="720"/>
          <w:titlePg/>
          <w:docGrid w:linePitch="381"/>
        </w:sectPr>
      </w:pPr>
    </w:p>
    <w:tbl>
      <w:tblPr>
        <w:tblW w:w="15172" w:type="dxa"/>
        <w:tblInd w:w="-34" w:type="dxa"/>
        <w:tblLook w:val="04A0" w:firstRow="1" w:lastRow="0" w:firstColumn="1" w:lastColumn="0" w:noHBand="0" w:noVBand="1"/>
      </w:tblPr>
      <w:tblGrid>
        <w:gridCol w:w="15172"/>
      </w:tblGrid>
      <w:tr w:rsidR="00107207">
        <w:trPr>
          <w:trHeight w:val="975"/>
        </w:trPr>
        <w:tc>
          <w:tcPr>
            <w:tcW w:w="15172" w:type="dxa"/>
            <w:tcBorders>
              <w:top w:val="nil"/>
              <w:left w:val="nil"/>
              <w:bottom w:val="nil"/>
              <w:right w:val="nil"/>
            </w:tcBorders>
            <w:shd w:val="clear" w:color="auto" w:fill="auto"/>
            <w:vAlign w:val="center"/>
            <w:hideMark/>
          </w:tcPr>
          <w:p w:rsidR="00107207" w:rsidRDefault="003E0D1A">
            <w:pPr>
              <w:jc w:val="center"/>
              <w:rPr>
                <w:b/>
                <w:bCs/>
                <w:color w:val="000000"/>
                <w:sz w:val="28"/>
                <w:szCs w:val="28"/>
                <w:lang w:eastAsia="vi-VN"/>
              </w:rPr>
            </w:pPr>
            <w:r>
              <w:rPr>
                <w:b/>
                <w:bCs/>
                <w:color w:val="000000"/>
                <w:sz w:val="28"/>
                <w:szCs w:val="28"/>
              </w:rPr>
              <w:lastRenderedPageBreak/>
              <w:t xml:space="preserve">Phụ lục 02: </w:t>
            </w:r>
            <w:r>
              <w:rPr>
                <w:b/>
                <w:bCs/>
                <w:color w:val="000000"/>
                <w:sz w:val="28"/>
                <w:szCs w:val="28"/>
                <w:lang w:eastAsia="vi-VN"/>
              </w:rPr>
              <w:t xml:space="preserve">Kế hoạch vốn đầu tư phát triển nguồn ngân sách Trung ương năm 2025 thực hiện </w:t>
            </w:r>
          </w:p>
          <w:p w:rsidR="00107207" w:rsidRDefault="003E0D1A">
            <w:pPr>
              <w:jc w:val="center"/>
              <w:rPr>
                <w:b/>
                <w:bCs/>
                <w:i/>
                <w:color w:val="000000"/>
                <w:sz w:val="28"/>
                <w:szCs w:val="28"/>
                <w:lang w:eastAsia="vi-VN"/>
              </w:rPr>
            </w:pPr>
            <w:r>
              <w:rPr>
                <w:b/>
                <w:bCs/>
                <w:color w:val="000000"/>
                <w:sz w:val="28"/>
                <w:szCs w:val="28"/>
                <w:lang w:eastAsia="vi-VN"/>
              </w:rPr>
              <w:t>Chương trình mục tiêu quốc gia phát triển kinh tế - xã hội vùng đồng bào dân tộc thiểu số và miền núi (đợt 2)</w:t>
            </w:r>
            <w:r>
              <w:rPr>
                <w:b/>
                <w:bCs/>
                <w:i/>
                <w:color w:val="000000"/>
                <w:sz w:val="28"/>
                <w:szCs w:val="28"/>
                <w:lang w:eastAsia="vi-VN"/>
              </w:rPr>
              <w:t xml:space="preserve"> </w:t>
            </w:r>
          </w:p>
          <w:p w:rsidR="00107207" w:rsidRDefault="003E0D1A">
            <w:pPr>
              <w:jc w:val="center"/>
              <w:rPr>
                <w:i/>
                <w:sz w:val="28"/>
                <w:szCs w:val="28"/>
              </w:rPr>
            </w:pPr>
            <w:r>
              <w:rPr>
                <w:i/>
                <w:iCs/>
                <w:sz w:val="28"/>
                <w:szCs w:val="28"/>
              </w:rPr>
              <w:t>(Kèm theo Tờ trình số           /TTr-UBND ngày      /    /2025 của UBND tỉnh</w:t>
            </w:r>
            <w:r>
              <w:rPr>
                <w:i/>
                <w:sz w:val="28"/>
                <w:szCs w:val="28"/>
              </w:rPr>
              <w:t>)</w:t>
            </w:r>
          </w:p>
          <w:p w:rsidR="00107207" w:rsidRDefault="00107207">
            <w:pPr>
              <w:jc w:val="center"/>
              <w:rPr>
                <w:i/>
                <w:sz w:val="28"/>
                <w:szCs w:val="28"/>
              </w:rPr>
            </w:pPr>
          </w:p>
        </w:tc>
      </w:tr>
    </w:tbl>
    <w:p w:rsidR="00107207" w:rsidRDefault="003E0D1A">
      <w:pPr>
        <w:tabs>
          <w:tab w:val="left" w:pos="8700"/>
        </w:tabs>
        <w:rPr>
          <w:i/>
          <w:iCs/>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iCs/>
          <w:color w:val="000000"/>
        </w:rPr>
        <w:t>ĐVT: Triệu đồng</w:t>
      </w:r>
    </w:p>
    <w:tbl>
      <w:tblPr>
        <w:tblW w:w="15059" w:type="dxa"/>
        <w:tblInd w:w="113" w:type="dxa"/>
        <w:tblLook w:val="04A0" w:firstRow="1" w:lastRow="0" w:firstColumn="1" w:lastColumn="0" w:noHBand="0" w:noVBand="1"/>
      </w:tblPr>
      <w:tblGrid>
        <w:gridCol w:w="704"/>
        <w:gridCol w:w="1701"/>
        <w:gridCol w:w="1539"/>
        <w:gridCol w:w="1357"/>
        <w:gridCol w:w="1439"/>
        <w:gridCol w:w="1760"/>
        <w:gridCol w:w="1439"/>
        <w:gridCol w:w="1479"/>
        <w:gridCol w:w="2083"/>
        <w:gridCol w:w="1336"/>
        <w:gridCol w:w="222"/>
      </w:tblGrid>
      <w:tr w:rsidR="00107207">
        <w:trPr>
          <w:gridAfter w:val="1"/>
          <w:wAfter w:w="222" w:type="dxa"/>
          <w:trHeight w:val="375"/>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7207" w:rsidRDefault="003E0D1A">
            <w:pPr>
              <w:jc w:val="center"/>
            </w:pPr>
            <w:r>
              <w:t>TT</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7207" w:rsidRDefault="003E0D1A">
            <w:pPr>
              <w:jc w:val="center"/>
            </w:pPr>
            <w:r>
              <w:t>Nội dung</w:t>
            </w:r>
          </w:p>
        </w:tc>
        <w:tc>
          <w:tcPr>
            <w:tcW w:w="6095"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07207" w:rsidRDefault="003E0D1A">
            <w:pPr>
              <w:jc w:val="center"/>
            </w:pPr>
            <w:r>
              <w:t>Kế hoạch đầu tư trung hạn vốn NSTW giai đoạn 2021-2025</w:t>
            </w:r>
          </w:p>
        </w:tc>
        <w:tc>
          <w:tcPr>
            <w:tcW w:w="14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7207" w:rsidRDefault="003E0D1A">
            <w:pPr>
              <w:jc w:val="center"/>
            </w:pPr>
            <w:r>
              <w:t xml:space="preserve">Vốn đã giải ngân đến hết kế hoạch năm trước </w:t>
            </w:r>
          </w:p>
        </w:tc>
        <w:tc>
          <w:tcPr>
            <w:tcW w:w="14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7207" w:rsidRDefault="003E0D1A">
            <w:pPr>
              <w:jc w:val="center"/>
            </w:pPr>
            <w:r>
              <w:t>Kế hoạch vốn NSTW năm 2025 (đợt 2)</w:t>
            </w:r>
          </w:p>
        </w:tc>
        <w:tc>
          <w:tcPr>
            <w:tcW w:w="20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7207" w:rsidRDefault="003E0D1A">
            <w:pPr>
              <w:jc w:val="center"/>
            </w:pPr>
            <w:r>
              <w:t>Đơn vị thực hiện</w:t>
            </w:r>
          </w:p>
        </w:tc>
        <w:tc>
          <w:tcPr>
            <w:tcW w:w="13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7207" w:rsidRDefault="003E0D1A">
            <w:pPr>
              <w:jc w:val="center"/>
            </w:pPr>
            <w:r>
              <w:t>Ghi chú</w:t>
            </w:r>
          </w:p>
        </w:tc>
      </w:tr>
      <w:tr w:rsidR="00107207">
        <w:trPr>
          <w:trHeight w:val="19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6095" w:type="dxa"/>
            <w:gridSpan w:val="4"/>
            <w:vMerge/>
            <w:tcBorders>
              <w:top w:val="single" w:sz="4" w:space="0" w:color="auto"/>
              <w:left w:val="single" w:sz="4" w:space="0" w:color="auto"/>
              <w:bottom w:val="single" w:sz="4" w:space="0" w:color="000000"/>
              <w:right w:val="single" w:sz="4" w:space="0" w:color="000000"/>
            </w:tcBorders>
            <w:vAlign w:val="center"/>
            <w:hideMark/>
          </w:tcPr>
          <w:p w:rsidR="00107207" w:rsidRDefault="00107207"/>
        </w:tc>
        <w:tc>
          <w:tcPr>
            <w:tcW w:w="1439"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479"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2083"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336"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222" w:type="dxa"/>
            <w:tcBorders>
              <w:top w:val="nil"/>
              <w:left w:val="nil"/>
              <w:bottom w:val="nil"/>
              <w:right w:val="nil"/>
            </w:tcBorders>
            <w:shd w:val="clear" w:color="auto" w:fill="auto"/>
            <w:noWrap/>
            <w:vAlign w:val="bottom"/>
            <w:hideMark/>
          </w:tcPr>
          <w:p w:rsidR="00107207" w:rsidRDefault="00107207">
            <w:pPr>
              <w:jc w:val="center"/>
              <w:rPr>
                <w:sz w:val="26"/>
                <w:szCs w:val="26"/>
              </w:rPr>
            </w:pPr>
          </w:p>
        </w:tc>
      </w:tr>
      <w:tr w:rsidR="00107207">
        <w:trPr>
          <w:trHeight w:val="316"/>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289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07207" w:rsidRDefault="003E0D1A">
            <w:pPr>
              <w:jc w:val="center"/>
            </w:pPr>
            <w:r>
              <w:t>Giai đoạn 2021-2025</w:t>
            </w:r>
          </w:p>
        </w:tc>
        <w:tc>
          <w:tcPr>
            <w:tcW w:w="3199" w:type="dxa"/>
            <w:gridSpan w:val="2"/>
            <w:tcBorders>
              <w:top w:val="single" w:sz="4" w:space="0" w:color="auto"/>
              <w:left w:val="nil"/>
              <w:bottom w:val="single" w:sz="4" w:space="0" w:color="auto"/>
              <w:right w:val="single" w:sz="4" w:space="0" w:color="000000"/>
            </w:tcBorders>
            <w:shd w:val="clear" w:color="auto" w:fill="auto"/>
            <w:vAlign w:val="center"/>
            <w:hideMark/>
          </w:tcPr>
          <w:p w:rsidR="00107207" w:rsidRDefault="003E0D1A">
            <w:pPr>
              <w:jc w:val="center"/>
            </w:pPr>
            <w:r>
              <w:t>Số vốn đã giao</w:t>
            </w:r>
          </w:p>
        </w:tc>
        <w:tc>
          <w:tcPr>
            <w:tcW w:w="1439"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479"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2083"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336"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222" w:type="dxa"/>
            <w:vAlign w:val="center"/>
            <w:hideMark/>
          </w:tcPr>
          <w:p w:rsidR="00107207" w:rsidRDefault="00107207">
            <w:pPr>
              <w:rPr>
                <w:sz w:val="20"/>
                <w:szCs w:val="20"/>
              </w:rPr>
            </w:pPr>
          </w:p>
        </w:tc>
      </w:tr>
      <w:tr w:rsidR="00107207">
        <w:trPr>
          <w:trHeight w:val="360"/>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539" w:type="dxa"/>
            <w:vMerge w:val="restart"/>
            <w:tcBorders>
              <w:top w:val="nil"/>
              <w:left w:val="single" w:sz="4" w:space="0" w:color="auto"/>
              <w:bottom w:val="single" w:sz="4" w:space="0" w:color="000000"/>
              <w:right w:val="single" w:sz="4" w:space="0" w:color="auto"/>
            </w:tcBorders>
            <w:shd w:val="clear" w:color="auto" w:fill="auto"/>
            <w:vAlign w:val="center"/>
            <w:hideMark/>
          </w:tcPr>
          <w:p w:rsidR="00107207" w:rsidRDefault="003E0D1A">
            <w:pPr>
              <w:jc w:val="center"/>
            </w:pPr>
            <w:r>
              <w:t>Tổng số</w:t>
            </w:r>
          </w:p>
        </w:tc>
        <w:tc>
          <w:tcPr>
            <w:tcW w:w="1357" w:type="dxa"/>
            <w:vMerge w:val="restart"/>
            <w:tcBorders>
              <w:top w:val="nil"/>
              <w:left w:val="single" w:sz="4" w:space="0" w:color="auto"/>
              <w:bottom w:val="single" w:sz="4" w:space="0" w:color="000000"/>
              <w:right w:val="single" w:sz="4" w:space="0" w:color="auto"/>
            </w:tcBorders>
            <w:shd w:val="clear" w:color="auto" w:fill="auto"/>
            <w:vAlign w:val="center"/>
            <w:hideMark/>
          </w:tcPr>
          <w:p w:rsidR="00107207" w:rsidRDefault="003E0D1A">
            <w:pPr>
              <w:jc w:val="center"/>
              <w:rPr>
                <w:i/>
                <w:iCs/>
              </w:rPr>
            </w:pPr>
            <w:r>
              <w:rPr>
                <w:i/>
                <w:iCs/>
              </w:rPr>
              <w:t>Trong đó: Chuẩn bị đầu tư</w:t>
            </w:r>
          </w:p>
        </w:tc>
        <w:tc>
          <w:tcPr>
            <w:tcW w:w="1439" w:type="dxa"/>
            <w:vMerge w:val="restart"/>
            <w:tcBorders>
              <w:top w:val="nil"/>
              <w:left w:val="single" w:sz="4" w:space="0" w:color="auto"/>
              <w:bottom w:val="single" w:sz="4" w:space="0" w:color="000000"/>
              <w:right w:val="single" w:sz="4" w:space="0" w:color="auto"/>
            </w:tcBorders>
            <w:shd w:val="clear" w:color="auto" w:fill="auto"/>
            <w:vAlign w:val="center"/>
            <w:hideMark/>
          </w:tcPr>
          <w:p w:rsidR="00107207" w:rsidRDefault="003E0D1A">
            <w:pPr>
              <w:jc w:val="center"/>
            </w:pPr>
            <w:r>
              <w:t>Tổng số</w:t>
            </w:r>
          </w:p>
        </w:tc>
        <w:tc>
          <w:tcPr>
            <w:tcW w:w="1760" w:type="dxa"/>
            <w:vMerge w:val="restart"/>
            <w:tcBorders>
              <w:top w:val="nil"/>
              <w:left w:val="single" w:sz="4" w:space="0" w:color="auto"/>
              <w:bottom w:val="single" w:sz="4" w:space="0" w:color="000000"/>
              <w:right w:val="single" w:sz="4" w:space="0" w:color="auto"/>
            </w:tcBorders>
            <w:shd w:val="clear" w:color="auto" w:fill="auto"/>
            <w:vAlign w:val="center"/>
            <w:hideMark/>
          </w:tcPr>
          <w:p w:rsidR="00107207" w:rsidRDefault="003E0D1A">
            <w:pPr>
              <w:jc w:val="center"/>
              <w:rPr>
                <w:i/>
                <w:iCs/>
              </w:rPr>
            </w:pPr>
            <w:r>
              <w:rPr>
                <w:i/>
                <w:iCs/>
              </w:rPr>
              <w:t>Trong đó: Chuẩn bị đầu tư</w:t>
            </w:r>
          </w:p>
        </w:tc>
        <w:tc>
          <w:tcPr>
            <w:tcW w:w="1439"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479"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2083"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336"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222" w:type="dxa"/>
            <w:vAlign w:val="center"/>
            <w:hideMark/>
          </w:tcPr>
          <w:p w:rsidR="00107207" w:rsidRDefault="00107207">
            <w:pPr>
              <w:rPr>
                <w:sz w:val="20"/>
                <w:szCs w:val="20"/>
              </w:rPr>
            </w:pPr>
          </w:p>
        </w:tc>
      </w:tr>
      <w:tr w:rsidR="00107207">
        <w:trPr>
          <w:trHeight w:val="469"/>
        </w:trPr>
        <w:tc>
          <w:tcPr>
            <w:tcW w:w="704" w:type="dxa"/>
            <w:vMerge/>
            <w:tcBorders>
              <w:top w:val="single" w:sz="4" w:space="0" w:color="auto"/>
              <w:left w:val="single" w:sz="4" w:space="0" w:color="auto"/>
              <w:bottom w:val="single" w:sz="4" w:space="0" w:color="auto"/>
              <w:right w:val="single" w:sz="4" w:space="0" w:color="auto"/>
            </w:tcBorders>
            <w:vAlign w:val="center"/>
            <w:hideMark/>
          </w:tcPr>
          <w:p w:rsidR="00107207" w:rsidRDefault="00107207"/>
        </w:tc>
        <w:tc>
          <w:tcPr>
            <w:tcW w:w="1701" w:type="dxa"/>
            <w:vMerge/>
            <w:tcBorders>
              <w:top w:val="single" w:sz="4" w:space="0" w:color="auto"/>
              <w:left w:val="single" w:sz="4" w:space="0" w:color="auto"/>
              <w:bottom w:val="single" w:sz="4" w:space="0" w:color="auto"/>
              <w:right w:val="single" w:sz="4" w:space="0" w:color="auto"/>
            </w:tcBorders>
            <w:vAlign w:val="center"/>
            <w:hideMark/>
          </w:tcPr>
          <w:p w:rsidR="00107207" w:rsidRDefault="00107207"/>
        </w:tc>
        <w:tc>
          <w:tcPr>
            <w:tcW w:w="1539" w:type="dxa"/>
            <w:vMerge/>
            <w:tcBorders>
              <w:top w:val="nil"/>
              <w:left w:val="single" w:sz="4" w:space="0" w:color="auto"/>
              <w:bottom w:val="single" w:sz="4" w:space="0" w:color="000000"/>
              <w:right w:val="single" w:sz="4" w:space="0" w:color="auto"/>
            </w:tcBorders>
            <w:vAlign w:val="center"/>
            <w:hideMark/>
          </w:tcPr>
          <w:p w:rsidR="00107207" w:rsidRDefault="00107207"/>
        </w:tc>
        <w:tc>
          <w:tcPr>
            <w:tcW w:w="1357" w:type="dxa"/>
            <w:vMerge/>
            <w:tcBorders>
              <w:top w:val="nil"/>
              <w:left w:val="single" w:sz="4" w:space="0" w:color="auto"/>
              <w:bottom w:val="single" w:sz="4" w:space="0" w:color="000000"/>
              <w:right w:val="single" w:sz="4" w:space="0" w:color="auto"/>
            </w:tcBorders>
            <w:vAlign w:val="center"/>
            <w:hideMark/>
          </w:tcPr>
          <w:p w:rsidR="00107207" w:rsidRDefault="00107207">
            <w:pPr>
              <w:rPr>
                <w:i/>
                <w:iCs/>
              </w:rPr>
            </w:pPr>
          </w:p>
        </w:tc>
        <w:tc>
          <w:tcPr>
            <w:tcW w:w="1439" w:type="dxa"/>
            <w:vMerge/>
            <w:tcBorders>
              <w:top w:val="nil"/>
              <w:left w:val="single" w:sz="4" w:space="0" w:color="auto"/>
              <w:bottom w:val="single" w:sz="4" w:space="0" w:color="000000"/>
              <w:right w:val="single" w:sz="4" w:space="0" w:color="auto"/>
            </w:tcBorders>
            <w:vAlign w:val="center"/>
            <w:hideMark/>
          </w:tcPr>
          <w:p w:rsidR="00107207" w:rsidRDefault="00107207"/>
        </w:tc>
        <w:tc>
          <w:tcPr>
            <w:tcW w:w="1760" w:type="dxa"/>
            <w:vMerge/>
            <w:tcBorders>
              <w:top w:val="nil"/>
              <w:left w:val="single" w:sz="4" w:space="0" w:color="auto"/>
              <w:bottom w:val="single" w:sz="4" w:space="0" w:color="000000"/>
              <w:right w:val="single" w:sz="4" w:space="0" w:color="auto"/>
            </w:tcBorders>
            <w:vAlign w:val="center"/>
            <w:hideMark/>
          </w:tcPr>
          <w:p w:rsidR="00107207" w:rsidRDefault="00107207">
            <w:pPr>
              <w:rPr>
                <w:i/>
                <w:iCs/>
              </w:rPr>
            </w:pPr>
          </w:p>
        </w:tc>
        <w:tc>
          <w:tcPr>
            <w:tcW w:w="1439"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479"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2083"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1336" w:type="dxa"/>
            <w:vMerge/>
            <w:tcBorders>
              <w:top w:val="single" w:sz="4" w:space="0" w:color="auto"/>
              <w:left w:val="single" w:sz="4" w:space="0" w:color="auto"/>
              <w:bottom w:val="single" w:sz="4" w:space="0" w:color="000000"/>
              <w:right w:val="single" w:sz="4" w:space="0" w:color="auto"/>
            </w:tcBorders>
            <w:vAlign w:val="center"/>
            <w:hideMark/>
          </w:tcPr>
          <w:p w:rsidR="00107207" w:rsidRDefault="00107207"/>
        </w:tc>
        <w:tc>
          <w:tcPr>
            <w:tcW w:w="222" w:type="dxa"/>
            <w:tcBorders>
              <w:top w:val="nil"/>
              <w:left w:val="nil"/>
              <w:bottom w:val="nil"/>
              <w:right w:val="nil"/>
            </w:tcBorders>
            <w:shd w:val="clear" w:color="auto" w:fill="auto"/>
            <w:noWrap/>
            <w:vAlign w:val="bottom"/>
            <w:hideMark/>
          </w:tcPr>
          <w:p w:rsidR="00107207" w:rsidRDefault="00107207">
            <w:pPr>
              <w:jc w:val="center"/>
              <w:rPr>
                <w:i/>
                <w:iCs/>
                <w:sz w:val="26"/>
                <w:szCs w:val="26"/>
              </w:rPr>
            </w:pPr>
          </w:p>
        </w:tc>
      </w:tr>
      <w:tr w:rsidR="00107207">
        <w:trPr>
          <w:trHeight w:val="87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107207" w:rsidRDefault="00107207">
            <w:pPr>
              <w:rPr>
                <w:rFonts w:cs="Calibri"/>
                <w:color w:val="00000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07207" w:rsidRDefault="003E0D1A">
            <w:pPr>
              <w:jc w:val="center"/>
              <w:rPr>
                <w:b/>
                <w:bCs/>
              </w:rPr>
            </w:pPr>
            <w:r>
              <w:rPr>
                <w:b/>
                <w:bCs/>
              </w:rPr>
              <w:t>Tổng số</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rsidR="00107207" w:rsidRDefault="003E0D1A">
            <w:pPr>
              <w:jc w:val="center"/>
              <w:rPr>
                <w:b/>
                <w:bCs/>
              </w:rPr>
            </w:pPr>
            <w:r>
              <w:rPr>
                <w:b/>
                <w:bCs/>
              </w:rPr>
              <w:t xml:space="preserve">         25.675 </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rsidR="00107207" w:rsidRDefault="003E0D1A">
            <w:pPr>
              <w:jc w:val="center"/>
              <w:rPr>
                <w:b/>
                <w:bCs/>
              </w:rPr>
            </w:pPr>
            <w:r>
              <w:rPr>
                <w:b/>
                <w:bCs/>
              </w:rPr>
              <w:t xml:space="preserve">             -   </w:t>
            </w:r>
          </w:p>
        </w:tc>
        <w:tc>
          <w:tcPr>
            <w:tcW w:w="1439" w:type="dxa"/>
            <w:tcBorders>
              <w:top w:val="single" w:sz="4" w:space="0" w:color="auto"/>
              <w:left w:val="nil"/>
              <w:bottom w:val="single" w:sz="4" w:space="0" w:color="auto"/>
              <w:right w:val="single" w:sz="4" w:space="0" w:color="auto"/>
            </w:tcBorders>
            <w:shd w:val="clear" w:color="auto" w:fill="auto"/>
            <w:vAlign w:val="center"/>
            <w:hideMark/>
          </w:tcPr>
          <w:p w:rsidR="00107207" w:rsidRDefault="003E0D1A">
            <w:pPr>
              <w:jc w:val="center"/>
              <w:rPr>
                <w:b/>
                <w:bCs/>
              </w:rPr>
            </w:pPr>
            <w:r>
              <w:rPr>
                <w:b/>
                <w:bCs/>
              </w:rPr>
              <w:t xml:space="preserve">       18.225 </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107207" w:rsidRDefault="003E0D1A">
            <w:pPr>
              <w:jc w:val="center"/>
              <w:rPr>
                <w:b/>
                <w:bCs/>
              </w:rPr>
            </w:pPr>
            <w:r>
              <w:rPr>
                <w:b/>
                <w:bCs/>
              </w:rPr>
              <w:t xml:space="preserve">              -   </w:t>
            </w:r>
          </w:p>
        </w:tc>
        <w:tc>
          <w:tcPr>
            <w:tcW w:w="1439" w:type="dxa"/>
            <w:tcBorders>
              <w:top w:val="single" w:sz="4" w:space="0" w:color="auto"/>
              <w:left w:val="nil"/>
              <w:bottom w:val="single" w:sz="4" w:space="0" w:color="auto"/>
              <w:right w:val="single" w:sz="4" w:space="0" w:color="auto"/>
            </w:tcBorders>
            <w:shd w:val="clear" w:color="auto" w:fill="auto"/>
            <w:vAlign w:val="center"/>
            <w:hideMark/>
          </w:tcPr>
          <w:p w:rsidR="00107207" w:rsidRDefault="003E0D1A">
            <w:pPr>
              <w:jc w:val="center"/>
              <w:rPr>
                <w:b/>
                <w:bCs/>
              </w:rPr>
            </w:pPr>
            <w:r>
              <w:rPr>
                <w:b/>
                <w:bCs/>
              </w:rPr>
              <w:t xml:space="preserve">       10.448 </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107207" w:rsidRDefault="003E0D1A">
            <w:pPr>
              <w:jc w:val="center"/>
              <w:rPr>
                <w:b/>
                <w:bCs/>
              </w:rPr>
            </w:pPr>
            <w:r>
              <w:rPr>
                <w:b/>
                <w:bCs/>
              </w:rPr>
              <w:t xml:space="preserve">          7.450 </w:t>
            </w:r>
          </w:p>
        </w:tc>
        <w:tc>
          <w:tcPr>
            <w:tcW w:w="2083" w:type="dxa"/>
            <w:tcBorders>
              <w:top w:val="single" w:sz="4" w:space="0" w:color="auto"/>
              <w:left w:val="nil"/>
              <w:bottom w:val="single" w:sz="4" w:space="0" w:color="auto"/>
              <w:right w:val="single" w:sz="4" w:space="0" w:color="auto"/>
            </w:tcBorders>
            <w:shd w:val="clear" w:color="auto" w:fill="auto"/>
            <w:noWrap/>
            <w:vAlign w:val="center"/>
            <w:hideMark/>
          </w:tcPr>
          <w:p w:rsidR="00107207" w:rsidRDefault="003E0D1A">
            <w:pPr>
              <w:rPr>
                <w:b/>
                <w:bCs/>
              </w:rPr>
            </w:pPr>
            <w:r>
              <w:rPr>
                <w:b/>
                <w:bCs/>
              </w:rPr>
              <w:t> </w:t>
            </w:r>
          </w:p>
        </w:tc>
        <w:tc>
          <w:tcPr>
            <w:tcW w:w="1336" w:type="dxa"/>
            <w:tcBorders>
              <w:top w:val="single" w:sz="4" w:space="0" w:color="auto"/>
              <w:left w:val="nil"/>
              <w:bottom w:val="single" w:sz="4" w:space="0" w:color="auto"/>
              <w:right w:val="single" w:sz="4" w:space="0" w:color="auto"/>
            </w:tcBorders>
            <w:shd w:val="clear" w:color="auto" w:fill="auto"/>
            <w:noWrap/>
            <w:vAlign w:val="center"/>
            <w:hideMark/>
          </w:tcPr>
          <w:p w:rsidR="00107207" w:rsidRDefault="003E0D1A">
            <w:pPr>
              <w:rPr>
                <w:b/>
                <w:bCs/>
              </w:rPr>
            </w:pPr>
            <w:r>
              <w:rPr>
                <w:b/>
                <w:bCs/>
              </w:rPr>
              <w:t> </w:t>
            </w:r>
          </w:p>
        </w:tc>
        <w:tc>
          <w:tcPr>
            <w:tcW w:w="222" w:type="dxa"/>
            <w:vAlign w:val="center"/>
            <w:hideMark/>
          </w:tcPr>
          <w:p w:rsidR="00107207" w:rsidRDefault="00107207">
            <w:pPr>
              <w:rPr>
                <w:sz w:val="20"/>
                <w:szCs w:val="20"/>
              </w:rPr>
            </w:pPr>
          </w:p>
        </w:tc>
      </w:tr>
      <w:tr w:rsidR="00107207">
        <w:trPr>
          <w:trHeight w:val="16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207" w:rsidRDefault="00107207">
            <w:pPr>
              <w:jc w:val="cente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07207" w:rsidRDefault="003E0D1A">
            <w:pPr>
              <w:jc w:val="both"/>
            </w:pPr>
            <w:r>
              <w:t>Bản Rào Tre, Xã Phúc Trạch</w:t>
            </w:r>
          </w:p>
        </w:tc>
        <w:tc>
          <w:tcPr>
            <w:tcW w:w="1539" w:type="dxa"/>
            <w:tcBorders>
              <w:top w:val="nil"/>
              <w:left w:val="nil"/>
              <w:bottom w:val="single" w:sz="4" w:space="0" w:color="auto"/>
              <w:right w:val="single" w:sz="4" w:space="0" w:color="auto"/>
            </w:tcBorders>
            <w:shd w:val="clear" w:color="auto" w:fill="auto"/>
            <w:noWrap/>
            <w:vAlign w:val="center"/>
            <w:hideMark/>
          </w:tcPr>
          <w:p w:rsidR="00107207" w:rsidRDefault="003E0D1A">
            <w:pPr>
              <w:jc w:val="right"/>
            </w:pPr>
            <w:r>
              <w:t xml:space="preserve">         25.675 </w:t>
            </w:r>
          </w:p>
        </w:tc>
        <w:tc>
          <w:tcPr>
            <w:tcW w:w="1357" w:type="dxa"/>
            <w:tcBorders>
              <w:top w:val="nil"/>
              <w:left w:val="nil"/>
              <w:bottom w:val="single" w:sz="4" w:space="0" w:color="auto"/>
              <w:right w:val="single" w:sz="4" w:space="0" w:color="auto"/>
            </w:tcBorders>
            <w:shd w:val="clear" w:color="auto" w:fill="auto"/>
            <w:noWrap/>
            <w:vAlign w:val="center"/>
            <w:hideMark/>
          </w:tcPr>
          <w:p w:rsidR="00107207" w:rsidRDefault="003E0D1A">
            <w:pPr>
              <w:rPr>
                <w:b/>
                <w:bCs/>
              </w:rPr>
            </w:pPr>
            <w:r>
              <w:rPr>
                <w:b/>
                <w:bCs/>
              </w:rPr>
              <w:t> </w:t>
            </w:r>
          </w:p>
        </w:tc>
        <w:tc>
          <w:tcPr>
            <w:tcW w:w="1439" w:type="dxa"/>
            <w:tcBorders>
              <w:top w:val="nil"/>
              <w:left w:val="nil"/>
              <w:bottom w:val="single" w:sz="4" w:space="0" w:color="auto"/>
              <w:right w:val="single" w:sz="4" w:space="0" w:color="auto"/>
            </w:tcBorders>
            <w:shd w:val="clear" w:color="auto" w:fill="auto"/>
            <w:noWrap/>
            <w:vAlign w:val="center"/>
            <w:hideMark/>
          </w:tcPr>
          <w:p w:rsidR="00107207" w:rsidRDefault="003E0D1A">
            <w:r>
              <w:t xml:space="preserve">       18.225 </w:t>
            </w:r>
          </w:p>
        </w:tc>
        <w:tc>
          <w:tcPr>
            <w:tcW w:w="1760" w:type="dxa"/>
            <w:tcBorders>
              <w:top w:val="nil"/>
              <w:left w:val="nil"/>
              <w:bottom w:val="single" w:sz="4" w:space="0" w:color="auto"/>
              <w:right w:val="single" w:sz="4" w:space="0" w:color="auto"/>
            </w:tcBorders>
            <w:shd w:val="clear" w:color="auto" w:fill="auto"/>
            <w:noWrap/>
            <w:vAlign w:val="center"/>
            <w:hideMark/>
          </w:tcPr>
          <w:p w:rsidR="00107207" w:rsidRDefault="003E0D1A">
            <w:pPr>
              <w:rPr>
                <w:b/>
                <w:bCs/>
              </w:rPr>
            </w:pPr>
            <w:r>
              <w:rPr>
                <w:b/>
                <w:bCs/>
              </w:rPr>
              <w:t> </w:t>
            </w:r>
          </w:p>
        </w:tc>
        <w:tc>
          <w:tcPr>
            <w:tcW w:w="1439" w:type="dxa"/>
            <w:tcBorders>
              <w:top w:val="nil"/>
              <w:left w:val="nil"/>
              <w:bottom w:val="single" w:sz="4" w:space="0" w:color="auto"/>
              <w:right w:val="single" w:sz="4" w:space="0" w:color="auto"/>
            </w:tcBorders>
            <w:shd w:val="clear" w:color="auto" w:fill="auto"/>
            <w:noWrap/>
            <w:vAlign w:val="center"/>
            <w:hideMark/>
          </w:tcPr>
          <w:p w:rsidR="00107207" w:rsidRDefault="003E0D1A">
            <w:r>
              <w:t xml:space="preserve">       10.448 </w:t>
            </w:r>
          </w:p>
        </w:tc>
        <w:tc>
          <w:tcPr>
            <w:tcW w:w="1479" w:type="dxa"/>
            <w:tcBorders>
              <w:top w:val="nil"/>
              <w:left w:val="nil"/>
              <w:bottom w:val="single" w:sz="4" w:space="0" w:color="auto"/>
              <w:right w:val="single" w:sz="4" w:space="0" w:color="auto"/>
            </w:tcBorders>
            <w:shd w:val="clear" w:color="auto" w:fill="auto"/>
            <w:vAlign w:val="center"/>
            <w:hideMark/>
          </w:tcPr>
          <w:p w:rsidR="00107207" w:rsidRDefault="003E0D1A">
            <w:pPr>
              <w:jc w:val="center"/>
            </w:pPr>
            <w:r>
              <w:t xml:space="preserve">          7.450 </w:t>
            </w:r>
          </w:p>
        </w:tc>
        <w:tc>
          <w:tcPr>
            <w:tcW w:w="2083" w:type="dxa"/>
            <w:tcBorders>
              <w:top w:val="nil"/>
              <w:left w:val="nil"/>
              <w:bottom w:val="single" w:sz="4" w:space="0" w:color="auto"/>
              <w:right w:val="single" w:sz="4" w:space="0" w:color="auto"/>
            </w:tcBorders>
            <w:shd w:val="clear" w:color="auto" w:fill="auto"/>
            <w:vAlign w:val="center"/>
            <w:hideMark/>
          </w:tcPr>
          <w:p w:rsidR="00107207" w:rsidRDefault="003E0D1A">
            <w:pPr>
              <w:jc w:val="center"/>
            </w:pPr>
            <w:r>
              <w:t>UBND xã Phúc Trạch</w:t>
            </w:r>
          </w:p>
        </w:tc>
        <w:tc>
          <w:tcPr>
            <w:tcW w:w="1336" w:type="dxa"/>
            <w:tcBorders>
              <w:top w:val="nil"/>
              <w:left w:val="nil"/>
              <w:bottom w:val="single" w:sz="4" w:space="0" w:color="auto"/>
              <w:right w:val="single" w:sz="4" w:space="0" w:color="auto"/>
            </w:tcBorders>
            <w:shd w:val="clear" w:color="auto" w:fill="auto"/>
            <w:vAlign w:val="center"/>
            <w:hideMark/>
          </w:tcPr>
          <w:p w:rsidR="00107207" w:rsidRDefault="003E0D1A">
            <w:r>
              <w:t> </w:t>
            </w:r>
          </w:p>
        </w:tc>
        <w:tc>
          <w:tcPr>
            <w:tcW w:w="222" w:type="dxa"/>
            <w:vAlign w:val="center"/>
            <w:hideMark/>
          </w:tcPr>
          <w:p w:rsidR="00107207" w:rsidRDefault="00107207">
            <w:pPr>
              <w:rPr>
                <w:sz w:val="20"/>
                <w:szCs w:val="20"/>
              </w:rPr>
            </w:pPr>
          </w:p>
        </w:tc>
      </w:tr>
    </w:tbl>
    <w:p w:rsidR="00107207" w:rsidRDefault="00107207">
      <w:pPr>
        <w:tabs>
          <w:tab w:val="left" w:pos="8700"/>
        </w:tabs>
        <w:rPr>
          <w:color w:val="000000"/>
        </w:rPr>
      </w:pPr>
    </w:p>
    <w:p w:rsidR="00107207" w:rsidRDefault="00107207">
      <w:pPr>
        <w:spacing w:after="120"/>
        <w:jc w:val="center"/>
        <w:rPr>
          <w:b/>
          <w:sz w:val="28"/>
          <w:szCs w:val="28"/>
          <w:lang w:val="nl-NL"/>
        </w:rPr>
      </w:pPr>
    </w:p>
    <w:sectPr w:rsidR="00107207">
      <w:pgSz w:w="16839" w:h="11907" w:orient="landscape" w:code="9"/>
      <w:pgMar w:top="851" w:right="993" w:bottom="1134" w:left="1134" w:header="720" w:footer="403"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C39" w:rsidRDefault="00DB7C39">
      <w:r>
        <w:separator/>
      </w:r>
    </w:p>
  </w:endnote>
  <w:endnote w:type="continuationSeparator" w:id="0">
    <w:p w:rsidR="00DB7C39" w:rsidRDefault="00DB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207" w:rsidRDefault="003E0D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7207" w:rsidRDefault="001072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207" w:rsidRDefault="00107207">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C39" w:rsidRDefault="00DB7C39">
      <w:r>
        <w:separator/>
      </w:r>
    </w:p>
  </w:footnote>
  <w:footnote w:type="continuationSeparator" w:id="0">
    <w:p w:rsidR="00DB7C39" w:rsidRDefault="00DB7C39">
      <w:r>
        <w:continuationSeparator/>
      </w:r>
    </w:p>
  </w:footnote>
  <w:footnote w:id="1">
    <w:p w:rsidR="00107207" w:rsidRDefault="003E0D1A">
      <w:pPr>
        <w:pStyle w:val="FootnoteText"/>
        <w:jc w:val="both"/>
      </w:pPr>
      <w:r>
        <w:rPr>
          <w:rStyle w:val="FootnoteReference"/>
        </w:rPr>
        <w:footnoteRef/>
      </w:r>
      <w:r>
        <w:t xml:space="preserve"> Quy định tại </w:t>
      </w:r>
      <w:r>
        <w:rPr>
          <w:bCs/>
        </w:rPr>
        <w:t xml:space="preserve">điểm c, khoản 2, Điều 50 Luật Đầu tư công năm 2024: “việc lập kế hoạch đầu tư công hằng năm căn cứ </w:t>
      </w:r>
      <w:proofErr w:type="gramStart"/>
      <w:r>
        <w:rPr>
          <w:bCs/>
        </w:rPr>
        <w:t>theo</w:t>
      </w:r>
      <w:proofErr w:type="gramEnd"/>
      <w:r>
        <w:rPr>
          <w:bCs/>
        </w:rPr>
        <w:t xml:space="preserve"> kế hoạch đầu tư công trung hạn”, nên thực hiện phân bổ kế hoạch năm đồng thời với bổ sung kế hoạch trung hạn giai đoạn 2022-2025 cho dự án. </w:t>
      </w:r>
    </w:p>
  </w:footnote>
  <w:footnote w:id="2">
    <w:p w:rsidR="00107207" w:rsidRDefault="003E0D1A">
      <w:pPr>
        <w:pStyle w:val="FootnoteText"/>
        <w:jc w:val="both"/>
      </w:pPr>
      <w:r>
        <w:rPr>
          <w:rStyle w:val="FootnoteReference"/>
        </w:rPr>
        <w:footnoteRef/>
      </w:r>
      <w:r>
        <w:t xml:space="preserve"> </w:t>
      </w:r>
      <w:r>
        <w:rPr>
          <w:rStyle w:val="fontstyle01"/>
          <w:sz w:val="18"/>
          <w:szCs w:val="18"/>
        </w:rPr>
        <w:t>Căn cứ quy định tại khoản 2 Điều 6 Quyết định số 07/2022/QĐ-TTg của Thủ tướng Chính phủ và số vốn đầu tư công được giao bổ sung theo các Quyết định của Thủ tướng Chính phủ nêu trên, đề nghị Ủy ban nhân dân cấp tỉnh căn cứ điều kiện thực tế của địa phương, chủ động xây dựng phương án trình Hội đồng nhân dân cấp tỉnh quyết định điều chỉnh kế hoạch đầu tư công trung hạn vốn ngân sách trung ương giai đoạn 2021-2025; phân bổ kế hoạch đầu tư công vốn ngân sách trung ương bổ sung thực hiện Chương trình năm 2025 cho phù hợp với nhu cầu, khả năng triển khai và hiệu quả sử dụng vốn, bảo đảm đúng mục tiêu của Chương trình và quy định hiện hành.</w:t>
      </w:r>
    </w:p>
  </w:footnote>
  <w:footnote w:id="3">
    <w:p w:rsidR="00107207" w:rsidRDefault="003E0D1A">
      <w:pPr>
        <w:pStyle w:val="FootnoteText"/>
        <w:jc w:val="both"/>
      </w:pPr>
      <w:r>
        <w:rPr>
          <w:rStyle w:val="FootnoteReference"/>
        </w:rPr>
        <w:footnoteRef/>
      </w:r>
      <w:r>
        <w:t xml:space="preserve"> Theo ý kiến của Sở Nông nghiệp và Môi trường, căn cứ đề xuất dựa trên các n</w:t>
      </w:r>
      <w:r>
        <w:rPr>
          <w:lang w:val="vi-VN"/>
        </w:rPr>
        <w:t>guyên tắc</w:t>
      </w:r>
      <w:r>
        <w:t>,</w:t>
      </w:r>
      <w:r>
        <w:rPr>
          <w:lang w:val="vi-VN"/>
        </w:rPr>
        <w:t xml:space="preserve"> tiêu chí phân bổ vốn </w:t>
      </w:r>
      <w:r>
        <w:t>đ</w:t>
      </w:r>
      <w:r>
        <w:rPr>
          <w:lang w:val="vi-VN"/>
        </w:rPr>
        <w:t xml:space="preserve">ầu tư phát triển </w:t>
      </w:r>
      <w:r>
        <w:t>NSTW</w:t>
      </w:r>
      <w:r>
        <w:rPr>
          <w:lang w:val="vi-VN"/>
        </w:rPr>
        <w:t xml:space="preserve"> theo Nghị quyết </w:t>
      </w:r>
      <w:r>
        <w:t xml:space="preserve">số </w:t>
      </w:r>
      <w:r>
        <w:rPr>
          <w:lang w:val="vi-VN"/>
        </w:rPr>
        <w:t>75/2022/NQ-HĐND ngày 15/7/2022 của Hội đồng nhân dân tỉnh</w:t>
      </w:r>
      <w:r>
        <w:t xml:space="preserve">. Theo đó, hiện nay sau khi </w:t>
      </w:r>
      <w:r>
        <w:rPr>
          <w:lang w:val="vi-VN"/>
        </w:rPr>
        <w:t xml:space="preserve">thực hiện </w:t>
      </w:r>
      <w:r>
        <w:t>C</w:t>
      </w:r>
      <w:r>
        <w:rPr>
          <w:lang w:val="vi-VN"/>
        </w:rPr>
        <w:t>hính quyền</w:t>
      </w:r>
      <w:r>
        <w:t xml:space="preserve"> địa phương</w:t>
      </w:r>
      <w:r>
        <w:rPr>
          <w:lang w:val="vi-VN"/>
        </w:rPr>
        <w:t xml:space="preserve"> 02 cấp, không còn đối tượng c</w:t>
      </w:r>
      <w:r>
        <w:t>ấp</w:t>
      </w:r>
      <w:r>
        <w:rPr>
          <w:lang w:val="vi-VN"/>
        </w:rPr>
        <w:t xml:space="preserve"> huyện để phân bổ</w:t>
      </w:r>
      <w:r>
        <w:t xml:space="preserve">; còn đối với cấp xã chỉ phân bổ </w:t>
      </w:r>
      <w:r>
        <w:rPr>
          <w:lang w:val="vi-VN"/>
        </w:rPr>
        <w:t xml:space="preserve">được </w:t>
      </w:r>
      <w:r>
        <w:t>số tiền</w:t>
      </w:r>
      <w:r>
        <w:rPr>
          <w:lang w:val="vi-VN"/>
        </w:rPr>
        <w:t xml:space="preserve"> là 7</w:t>
      </w:r>
      <w:proofErr w:type="gramStart"/>
      <w:r>
        <w:rPr>
          <w:lang w:val="vi-VN"/>
        </w:rPr>
        <w:t>,5</w:t>
      </w:r>
      <w:proofErr w:type="gramEnd"/>
      <w:r>
        <w:rPr>
          <w:lang w:val="vi-VN"/>
        </w:rPr>
        <w:t xml:space="preserve"> triệu đồng</w:t>
      </w:r>
      <w:r>
        <w:t>/xã</w:t>
      </w:r>
      <w:r>
        <w:rPr>
          <w:lang w:val="vi-VN"/>
        </w:rPr>
        <w:t xml:space="preserve"> </w:t>
      </w:r>
      <w:r>
        <w:t xml:space="preserve">thì </w:t>
      </w:r>
      <w:r>
        <w:rPr>
          <w:lang w:val="vi-VN"/>
        </w:rPr>
        <w:t>việc phân bổ số kinh phí như trên sẽ không phát huy hiệu quả sử dụng nguồn vốn, bố trí manh mún, dàn trải</w:t>
      </w:r>
      <w:r>
        <w:t xml:space="preserve">. Mặt khác, việc </w:t>
      </w:r>
      <w:r>
        <w:rPr>
          <w:lang w:val="vi-VN"/>
        </w:rPr>
        <w:t xml:space="preserve">bố trí </w:t>
      </w:r>
      <w:r>
        <w:t xml:space="preserve">vốn </w:t>
      </w:r>
      <w:r>
        <w:rPr>
          <w:lang w:val="vi-VN"/>
        </w:rPr>
        <w:t xml:space="preserve">để xây dựng các </w:t>
      </w:r>
      <w:r>
        <w:t>C</w:t>
      </w:r>
      <w:r>
        <w:rPr>
          <w:lang w:val="vi-VN"/>
        </w:rPr>
        <w:t>ông trình cấp nước tập trung</w:t>
      </w:r>
      <w:r>
        <w:t xml:space="preserve"> là phù hợp, trong đó số vốn đề nghị bổ sung thêm</w:t>
      </w:r>
      <w:r>
        <w:rPr>
          <w:lang w:val="vi-VN"/>
        </w:rPr>
        <w:t xml:space="preserve"> cũng không vượt quá 50% trên tổng vốn trung hạn theo quy định</w:t>
      </w:r>
      <w:r>
        <w:t xml:space="preserve"> tại </w:t>
      </w:r>
      <w:r>
        <w:rPr>
          <w:lang w:val="vi-VN"/>
        </w:rPr>
        <w:t xml:space="preserve">Nghị quyết </w:t>
      </w:r>
      <w:r>
        <w:t xml:space="preserve">số </w:t>
      </w:r>
      <w:r>
        <w:rPr>
          <w:lang w:val="vi-VN"/>
        </w:rPr>
        <w:t>75/2022/NQ-HĐND</w:t>
      </w:r>
      <w:r>
        <w:t xml:space="preserve"> (T</w:t>
      </w:r>
      <w:r>
        <w:rPr>
          <w:lang w:val="vi-VN"/>
        </w:rPr>
        <w:t>ổng số vốn trung hạn bố trí thực hiện công trình cấp nước sạch tập trung giai đoạn 2021-2025 là 380.700 triệu đồng/tống số vốn trung hạn là 763.820 triệu đồng</w:t>
      </w:r>
      <w:r>
        <w:t>).</w:t>
      </w:r>
    </w:p>
    <w:p w:rsidR="00107207" w:rsidRDefault="00107207">
      <w:pPr>
        <w:pStyle w:val="FootnoteText"/>
        <w:jc w:val="both"/>
      </w:pPr>
    </w:p>
  </w:footnote>
  <w:footnote w:id="4">
    <w:p w:rsidR="00107207" w:rsidRDefault="003E0D1A">
      <w:pPr>
        <w:pStyle w:val="FootnoteText"/>
        <w:rPr>
          <w:i/>
          <w:iCs/>
        </w:rPr>
      </w:pPr>
      <w:r>
        <w:rPr>
          <w:rStyle w:val="FootnoteReference"/>
          <w:i/>
          <w:iCs/>
        </w:rPr>
        <w:footnoteRef/>
      </w:r>
      <w:r>
        <w:rPr>
          <w:i/>
          <w:iCs/>
        </w:rPr>
        <w:t xml:space="preserve"> Nhiệm vụ, quyền hạn của UBND cấp tỉnh: Trình Hội đồng nhân dân cấp tỉnh</w:t>
      </w:r>
      <w:r>
        <w:rPr>
          <w:rFonts w:ascii="Arial" w:hAnsi="Arial" w:cs="Arial"/>
          <w:i/>
          <w:iCs/>
          <w:color w:val="2E2E2E"/>
          <w:sz w:val="27"/>
          <w:szCs w:val="27"/>
        </w:rPr>
        <w:t xml:space="preserve"> </w:t>
      </w:r>
      <w:r>
        <w:rPr>
          <w:i/>
          <w:iCs/>
          <w:color w:val="2E2E2E"/>
        </w:rPr>
        <w:t>x</w:t>
      </w:r>
      <w:r>
        <w:rPr>
          <w:i/>
          <w:iCs/>
        </w:rPr>
        <w:t>em xét, quyết định kế hoạch đầu tư công trung hạn và hằng năm theo danh mục và mức vốn bố trí cho từng dự án do địa phương quản lý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1320281"/>
      <w:docPartObj>
        <w:docPartGallery w:val="Page Numbers (Top of Page)"/>
        <w:docPartUnique/>
      </w:docPartObj>
    </w:sdtPr>
    <w:sdtEndPr>
      <w:rPr>
        <w:noProof/>
      </w:rPr>
    </w:sdtEndPr>
    <w:sdtContent>
      <w:p w:rsidR="00107207" w:rsidRDefault="003E0D1A">
        <w:pPr>
          <w:pStyle w:val="Header"/>
          <w:jc w:val="center"/>
        </w:pPr>
        <w:r>
          <w:fldChar w:fldCharType="begin"/>
        </w:r>
        <w:r>
          <w:instrText xml:space="preserve"> PAGE   \* MERGEFORMAT </w:instrText>
        </w:r>
        <w:r>
          <w:fldChar w:fldCharType="separate"/>
        </w:r>
        <w:r w:rsidR="00C36FF4">
          <w:rPr>
            <w:noProof/>
          </w:rPr>
          <w:t>2</w:t>
        </w:r>
        <w:r>
          <w:rPr>
            <w:noProof/>
          </w:rPr>
          <w:fldChar w:fldCharType="end"/>
        </w:r>
      </w:p>
    </w:sdtContent>
  </w:sdt>
  <w:p w:rsidR="00107207" w:rsidRDefault="001072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4F481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207"/>
    <w:rsid w:val="00107207"/>
    <w:rsid w:val="002F5093"/>
    <w:rsid w:val="0035562B"/>
    <w:rsid w:val="003E0D1A"/>
    <w:rsid w:val="00670C0C"/>
    <w:rsid w:val="007A65F2"/>
    <w:rsid w:val="00C36FF4"/>
    <w:rsid w:val="00D03DDF"/>
    <w:rsid w:val="00DB7C39"/>
    <w:rsid w:val="00E17E7B"/>
    <w:rsid w:val="00E40873"/>
    <w:rsid w:val="00F924CE"/>
    <w:rsid w:val="00FE6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header" w:uiPriority="99"/>
    <w:lsdException w:name="caption" w:qFormat="1"/>
    <w:lsdException w:name="footnote reference" w:uiPriority="99"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3">
    <w:name w:val="heading 3"/>
    <w:basedOn w:val="Normal"/>
    <w:next w:val="Normal"/>
    <w:link w:val="Heading3Char"/>
    <w:qFormat/>
    <w:pPr>
      <w:keepNext/>
      <w:outlineLvl w:val="2"/>
    </w:pPr>
    <w:rPr>
      <w:rFonts w:ascii=".VnTimeH" w:hAnsi=".VnTimeH"/>
      <w:b/>
      <w:sz w:val="28"/>
      <w:szCs w:val="20"/>
    </w:rPr>
  </w:style>
  <w:style w:type="paragraph" w:styleId="Heading4">
    <w:name w:val="heading 4"/>
    <w:basedOn w:val="Normal"/>
    <w:next w:val="Normal"/>
    <w:link w:val="Heading4Char"/>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rPr>
      <w:sz w:val="28"/>
      <w:szCs w:val="28"/>
    </w:rPr>
  </w:style>
  <w:style w:type="character" w:styleId="PageNumber">
    <w:name w:val="page number"/>
    <w:basedOn w:val="DefaultParagraphFont"/>
  </w:style>
  <w:style w:type="paragraph" w:styleId="BodyText">
    <w:name w:val="Body Text"/>
    <w:basedOn w:val="Normal"/>
    <w:link w:val="BodyTextChar"/>
    <w:pPr>
      <w:jc w:val="center"/>
    </w:pPr>
    <w:rPr>
      <w:b/>
      <w:bCs/>
      <w:sz w:val="26"/>
    </w:rPr>
  </w:style>
  <w:style w:type="character" w:customStyle="1" w:styleId="Heading3Char">
    <w:name w:val="Heading 3 Char"/>
    <w:link w:val="Heading3"/>
    <w:rPr>
      <w:rFonts w:ascii=".VnTimeH" w:hAnsi=".VnTimeH"/>
      <w:b/>
      <w:sz w:val="28"/>
      <w:lang w:val="en-US" w:eastAsia="en-US" w:bidi="ar-SA"/>
    </w:rPr>
  </w:style>
  <w:style w:type="character" w:customStyle="1" w:styleId="FooterChar">
    <w:name w:val="Footer Char"/>
    <w:link w:val="Footer"/>
    <w:rPr>
      <w:sz w:val="28"/>
      <w:szCs w:val="28"/>
      <w:lang w:val="en-US" w:eastAsia="en-US" w:bidi="ar-SA"/>
    </w:rPr>
  </w:style>
  <w:style w:type="character" w:customStyle="1" w:styleId="BodyTextChar">
    <w:name w:val="Body Text Char"/>
    <w:link w:val="BodyText"/>
    <w:rPr>
      <w:b/>
      <w:bCs/>
      <w:sz w:val="26"/>
      <w:szCs w:val="24"/>
      <w:lang w:val="en-US" w:eastAsia="en-US" w:bidi="ar-SA"/>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
    <w:basedOn w:val="Normal"/>
    <w:link w:val="FootnoteTextChar"/>
    <w:uiPriority w:val="99"/>
    <w:qFormat/>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
    <w:link w:val="FootnoteText"/>
    <w:uiPriority w:val="99"/>
    <w:qFormat/>
    <w:rPr>
      <w:lang w:val="en-US" w:eastAsia="en-US" w:bidi="ar-SA"/>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f1,SUPERS,R,10 p"/>
    <w:link w:val="CarattereCarattereCharCharCharCharCharCharZchn"/>
    <w:uiPriority w:val="99"/>
    <w:qFormat/>
    <w:rPr>
      <w:vertAlign w:val="superscript"/>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rPr>
  </w:style>
  <w:style w:type="paragraph" w:styleId="ListParagraph">
    <w:name w:val="List Paragraph"/>
    <w:basedOn w:val="Normal"/>
    <w:uiPriority w:val="99"/>
    <w:qFormat/>
    <w:pPr>
      <w:ind w:left="720"/>
      <w:contextualSpacing/>
    </w:pPr>
    <w:rPr>
      <w:rFonts w:ascii=".VnTime" w:hAnsi=".VnTime"/>
      <w:sz w:val="28"/>
      <w:szCs w:val="20"/>
    </w:rPr>
  </w:style>
  <w:style w:type="paragraph" w:customStyle="1" w:styleId="Body1">
    <w:name w:val="Body 1"/>
    <w:pPr>
      <w:outlineLvl w:val="0"/>
    </w:pPr>
    <w:rPr>
      <w:rFonts w:eastAsia="Arial Unicode MS"/>
      <w:color w:val="000000"/>
      <w:sz w:val="28"/>
      <w:u w:color="000000"/>
    </w:rPr>
  </w:style>
  <w:style w:type="character" w:customStyle="1" w:styleId="04BodyChar">
    <w:name w:val="04. Body Char"/>
    <w:link w:val="04Body"/>
    <w:locked/>
    <w:rPr>
      <w:sz w:val="28"/>
      <w:szCs w:val="26"/>
    </w:rPr>
  </w:style>
  <w:style w:type="paragraph" w:customStyle="1" w:styleId="04Body">
    <w:name w:val="04. Body"/>
    <w:basedOn w:val="Normal"/>
    <w:link w:val="04BodyChar"/>
    <w:qFormat/>
    <w:pPr>
      <w:spacing w:before="120" w:after="120" w:line="264" w:lineRule="auto"/>
      <w:ind w:firstLine="720"/>
      <w:jc w:val="both"/>
    </w:pPr>
    <w:rPr>
      <w:sz w:val="28"/>
      <w:szCs w:val="26"/>
    </w:rPr>
  </w:style>
  <w:style w:type="paragraph" w:styleId="NormalWeb">
    <w:name w:val="Normal (Web)"/>
    <w:basedOn w:val="Normal"/>
    <w:uiPriority w:val="99"/>
    <w:unhideWhenUsed/>
    <w:pPr>
      <w:spacing w:before="100" w:beforeAutospacing="1" w:after="100" w:afterAutospacing="1"/>
    </w:pPr>
  </w:style>
  <w:style w:type="paragraph" w:customStyle="1" w:styleId="Char">
    <w:name w:val="Char"/>
    <w:basedOn w:val="Normal"/>
    <w:pPr>
      <w:pageBreakBefore/>
      <w:spacing w:before="100" w:beforeAutospacing="1" w:after="100" w:afterAutospacing="1"/>
    </w:pPr>
    <w:rPr>
      <w:rFonts w:ascii="Tahoma" w:hAnsi="Tahoma" w:cs="Tahoma"/>
      <w:sz w:val="20"/>
      <w:szCs w:val="20"/>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rPr>
      <w:sz w:val="24"/>
      <w:szCs w:val="24"/>
    </w:rPr>
  </w:style>
  <w:style w:type="paragraph" w:styleId="BodyText3">
    <w:name w:val="Body Text 3"/>
    <w:basedOn w:val="Normal"/>
    <w:link w:val="BodyText3Char"/>
    <w:pPr>
      <w:spacing w:after="120"/>
    </w:pPr>
    <w:rPr>
      <w:rFonts w:ascii=".VnTime" w:hAnsi=".VnTime"/>
      <w:b/>
      <w:sz w:val="16"/>
      <w:szCs w:val="16"/>
    </w:rPr>
  </w:style>
  <w:style w:type="character" w:customStyle="1" w:styleId="BodyText3Char">
    <w:name w:val="Body Text 3 Char"/>
    <w:link w:val="BodyText3"/>
    <w:rPr>
      <w:rFonts w:ascii=".VnTime" w:hAnsi=".VnTime"/>
      <w:b/>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pPr>
      <w:spacing w:after="160" w:line="240" w:lineRule="exact"/>
    </w:pPr>
    <w:rPr>
      <w:sz w:val="20"/>
      <w:szCs w:val="20"/>
      <w:vertAlign w:val="superscript"/>
    </w:rPr>
  </w:style>
  <w:style w:type="paragraph" w:customStyle="1" w:styleId="Normal1">
    <w:name w:val="Normal1"/>
    <w:basedOn w:val="Normal"/>
    <w:pPr>
      <w:spacing w:before="100" w:beforeAutospacing="1" w:after="100" w:afterAutospacing="1"/>
    </w:pPr>
  </w:style>
  <w:style w:type="character" w:customStyle="1" w:styleId="BodyTextChar1">
    <w:name w:val="Body Text Char1"/>
    <w:uiPriority w:val="99"/>
    <w:rPr>
      <w:rFonts w:ascii="Times New Roman" w:hAnsi="Times New Roman" w:cs="Times New Roman"/>
      <w:sz w:val="26"/>
      <w:szCs w:val="26"/>
      <w:u w:val="none"/>
    </w:rPr>
  </w:style>
  <w:style w:type="paragraph" w:customStyle="1" w:styleId="ColorfulList-Accent12">
    <w:name w:val="Colorful List - Accent 12"/>
    <w:aliases w:val="Heading 1.1,List Bullet Mary,Numbered List Paragraph,Use Case List Paragraph,Citation List,MC Paragraphe Liste,Multilevel para_II,Resume Title,Riana Table Bullets 1,Bullet point,List Paragraph11,List Paragraph Number"/>
    <w:basedOn w:val="Normal"/>
    <w:uiPriority w:val="34"/>
    <w:qFormat/>
    <w:pPr>
      <w:widowControl w:val="0"/>
      <w:autoSpaceDE w:val="0"/>
      <w:autoSpaceDN w:val="0"/>
      <w:adjustRightInd w:val="0"/>
      <w:ind w:left="720"/>
      <w:contextualSpacing/>
    </w:pPr>
    <w:rPr>
      <w:rFonts w:ascii="Arial" w:eastAsia="MS Mincho" w:hAnsi="Arial" w:cs="Arial"/>
      <w:color w:val="00000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pPr>
      <w:keepNext/>
      <w:spacing w:after="160" w:line="240" w:lineRule="exact"/>
      <w:jc w:val="both"/>
    </w:pPr>
    <w:rPr>
      <w:rFonts w:eastAsia="Calibri"/>
      <w:sz w:val="20"/>
      <w:szCs w:val="20"/>
      <w:vertAlign w:val="superscript"/>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rPr>
      <w:sz w:val="24"/>
      <w:szCs w:val="24"/>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sz w:val="24"/>
      <w:szCs w:val="24"/>
    </w:rPr>
  </w:style>
  <w:style w:type="character" w:customStyle="1" w:styleId="Heading4Char">
    <w:name w:val="Heading 4 Char"/>
    <w:basedOn w:val="DefaultParagraphFont"/>
    <w:link w:val="Heading4"/>
    <w:semiHidden/>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header" w:uiPriority="99"/>
    <w:lsdException w:name="caption" w:qFormat="1"/>
    <w:lsdException w:name="footnote reference" w:uiPriority="99"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3">
    <w:name w:val="heading 3"/>
    <w:basedOn w:val="Normal"/>
    <w:next w:val="Normal"/>
    <w:link w:val="Heading3Char"/>
    <w:qFormat/>
    <w:pPr>
      <w:keepNext/>
      <w:outlineLvl w:val="2"/>
    </w:pPr>
    <w:rPr>
      <w:rFonts w:ascii=".VnTimeH" w:hAnsi=".VnTimeH"/>
      <w:b/>
      <w:sz w:val="28"/>
      <w:szCs w:val="20"/>
    </w:rPr>
  </w:style>
  <w:style w:type="paragraph" w:styleId="Heading4">
    <w:name w:val="heading 4"/>
    <w:basedOn w:val="Normal"/>
    <w:next w:val="Normal"/>
    <w:link w:val="Heading4Char"/>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rPr>
      <w:sz w:val="28"/>
      <w:szCs w:val="28"/>
    </w:rPr>
  </w:style>
  <w:style w:type="character" w:styleId="PageNumber">
    <w:name w:val="page number"/>
    <w:basedOn w:val="DefaultParagraphFont"/>
  </w:style>
  <w:style w:type="paragraph" w:styleId="BodyText">
    <w:name w:val="Body Text"/>
    <w:basedOn w:val="Normal"/>
    <w:link w:val="BodyTextChar"/>
    <w:pPr>
      <w:jc w:val="center"/>
    </w:pPr>
    <w:rPr>
      <w:b/>
      <w:bCs/>
      <w:sz w:val="26"/>
    </w:rPr>
  </w:style>
  <w:style w:type="character" w:customStyle="1" w:styleId="Heading3Char">
    <w:name w:val="Heading 3 Char"/>
    <w:link w:val="Heading3"/>
    <w:rPr>
      <w:rFonts w:ascii=".VnTimeH" w:hAnsi=".VnTimeH"/>
      <w:b/>
      <w:sz w:val="28"/>
      <w:lang w:val="en-US" w:eastAsia="en-US" w:bidi="ar-SA"/>
    </w:rPr>
  </w:style>
  <w:style w:type="character" w:customStyle="1" w:styleId="FooterChar">
    <w:name w:val="Footer Char"/>
    <w:link w:val="Footer"/>
    <w:rPr>
      <w:sz w:val="28"/>
      <w:szCs w:val="28"/>
      <w:lang w:val="en-US" w:eastAsia="en-US" w:bidi="ar-SA"/>
    </w:rPr>
  </w:style>
  <w:style w:type="character" w:customStyle="1" w:styleId="BodyTextChar">
    <w:name w:val="Body Text Char"/>
    <w:link w:val="BodyText"/>
    <w:rPr>
      <w:b/>
      <w:bCs/>
      <w:sz w:val="26"/>
      <w:szCs w:val="24"/>
      <w:lang w:val="en-US" w:eastAsia="en-US" w:bidi="ar-SA"/>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
    <w:basedOn w:val="Normal"/>
    <w:link w:val="FootnoteTextChar"/>
    <w:uiPriority w:val="99"/>
    <w:qFormat/>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
    <w:link w:val="FootnoteText"/>
    <w:uiPriority w:val="99"/>
    <w:qFormat/>
    <w:rPr>
      <w:lang w:val="en-US" w:eastAsia="en-US" w:bidi="ar-SA"/>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f1,SUPERS,R,10 p"/>
    <w:link w:val="CarattereCarattereCharCharCharCharCharCharZchn"/>
    <w:uiPriority w:val="99"/>
    <w:qFormat/>
    <w:rPr>
      <w:vertAlign w:val="superscript"/>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rPr>
  </w:style>
  <w:style w:type="paragraph" w:styleId="ListParagraph">
    <w:name w:val="List Paragraph"/>
    <w:basedOn w:val="Normal"/>
    <w:uiPriority w:val="99"/>
    <w:qFormat/>
    <w:pPr>
      <w:ind w:left="720"/>
      <w:contextualSpacing/>
    </w:pPr>
    <w:rPr>
      <w:rFonts w:ascii=".VnTime" w:hAnsi=".VnTime"/>
      <w:sz w:val="28"/>
      <w:szCs w:val="20"/>
    </w:rPr>
  </w:style>
  <w:style w:type="paragraph" w:customStyle="1" w:styleId="Body1">
    <w:name w:val="Body 1"/>
    <w:pPr>
      <w:outlineLvl w:val="0"/>
    </w:pPr>
    <w:rPr>
      <w:rFonts w:eastAsia="Arial Unicode MS"/>
      <w:color w:val="000000"/>
      <w:sz w:val="28"/>
      <w:u w:color="000000"/>
    </w:rPr>
  </w:style>
  <w:style w:type="character" w:customStyle="1" w:styleId="04BodyChar">
    <w:name w:val="04. Body Char"/>
    <w:link w:val="04Body"/>
    <w:locked/>
    <w:rPr>
      <w:sz w:val="28"/>
      <w:szCs w:val="26"/>
    </w:rPr>
  </w:style>
  <w:style w:type="paragraph" w:customStyle="1" w:styleId="04Body">
    <w:name w:val="04. Body"/>
    <w:basedOn w:val="Normal"/>
    <w:link w:val="04BodyChar"/>
    <w:qFormat/>
    <w:pPr>
      <w:spacing w:before="120" w:after="120" w:line="264" w:lineRule="auto"/>
      <w:ind w:firstLine="720"/>
      <w:jc w:val="both"/>
    </w:pPr>
    <w:rPr>
      <w:sz w:val="28"/>
      <w:szCs w:val="26"/>
    </w:rPr>
  </w:style>
  <w:style w:type="paragraph" w:styleId="NormalWeb">
    <w:name w:val="Normal (Web)"/>
    <w:basedOn w:val="Normal"/>
    <w:uiPriority w:val="99"/>
    <w:unhideWhenUsed/>
    <w:pPr>
      <w:spacing w:before="100" w:beforeAutospacing="1" w:after="100" w:afterAutospacing="1"/>
    </w:pPr>
  </w:style>
  <w:style w:type="paragraph" w:customStyle="1" w:styleId="Char">
    <w:name w:val="Char"/>
    <w:basedOn w:val="Normal"/>
    <w:pPr>
      <w:pageBreakBefore/>
      <w:spacing w:before="100" w:beforeAutospacing="1" w:after="100" w:afterAutospacing="1"/>
    </w:pPr>
    <w:rPr>
      <w:rFonts w:ascii="Tahoma" w:hAnsi="Tahoma" w:cs="Tahoma"/>
      <w:sz w:val="20"/>
      <w:szCs w:val="20"/>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rPr>
      <w:sz w:val="24"/>
      <w:szCs w:val="24"/>
    </w:rPr>
  </w:style>
  <w:style w:type="paragraph" w:styleId="BodyText3">
    <w:name w:val="Body Text 3"/>
    <w:basedOn w:val="Normal"/>
    <w:link w:val="BodyText3Char"/>
    <w:pPr>
      <w:spacing w:after="120"/>
    </w:pPr>
    <w:rPr>
      <w:rFonts w:ascii=".VnTime" w:hAnsi=".VnTime"/>
      <w:b/>
      <w:sz w:val="16"/>
      <w:szCs w:val="16"/>
    </w:rPr>
  </w:style>
  <w:style w:type="character" w:customStyle="1" w:styleId="BodyText3Char">
    <w:name w:val="Body Text 3 Char"/>
    <w:link w:val="BodyText3"/>
    <w:rPr>
      <w:rFonts w:ascii=".VnTime" w:hAnsi=".VnTime"/>
      <w:b/>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pPr>
      <w:spacing w:after="160" w:line="240" w:lineRule="exact"/>
    </w:pPr>
    <w:rPr>
      <w:sz w:val="20"/>
      <w:szCs w:val="20"/>
      <w:vertAlign w:val="superscript"/>
    </w:rPr>
  </w:style>
  <w:style w:type="paragraph" w:customStyle="1" w:styleId="Normal1">
    <w:name w:val="Normal1"/>
    <w:basedOn w:val="Normal"/>
    <w:pPr>
      <w:spacing w:before="100" w:beforeAutospacing="1" w:after="100" w:afterAutospacing="1"/>
    </w:pPr>
  </w:style>
  <w:style w:type="character" w:customStyle="1" w:styleId="BodyTextChar1">
    <w:name w:val="Body Text Char1"/>
    <w:uiPriority w:val="99"/>
    <w:rPr>
      <w:rFonts w:ascii="Times New Roman" w:hAnsi="Times New Roman" w:cs="Times New Roman"/>
      <w:sz w:val="26"/>
      <w:szCs w:val="26"/>
      <w:u w:val="none"/>
    </w:rPr>
  </w:style>
  <w:style w:type="paragraph" w:customStyle="1" w:styleId="ColorfulList-Accent12">
    <w:name w:val="Colorful List - Accent 12"/>
    <w:aliases w:val="Heading 1.1,List Bullet Mary,Numbered List Paragraph,Use Case List Paragraph,Citation List,MC Paragraphe Liste,Multilevel para_II,Resume Title,Riana Table Bullets 1,Bullet point,List Paragraph11,List Paragraph Number"/>
    <w:basedOn w:val="Normal"/>
    <w:uiPriority w:val="34"/>
    <w:qFormat/>
    <w:pPr>
      <w:widowControl w:val="0"/>
      <w:autoSpaceDE w:val="0"/>
      <w:autoSpaceDN w:val="0"/>
      <w:adjustRightInd w:val="0"/>
      <w:ind w:left="720"/>
      <w:contextualSpacing/>
    </w:pPr>
    <w:rPr>
      <w:rFonts w:ascii="Arial" w:eastAsia="MS Mincho" w:hAnsi="Arial" w:cs="Arial"/>
      <w:color w:val="00000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pPr>
      <w:keepNext/>
      <w:spacing w:after="160" w:line="240" w:lineRule="exact"/>
      <w:jc w:val="both"/>
    </w:pPr>
    <w:rPr>
      <w:rFonts w:eastAsia="Calibri"/>
      <w:sz w:val="20"/>
      <w:szCs w:val="20"/>
      <w:vertAlign w:val="superscript"/>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paragraph" w:styleId="Revision">
    <w:name w:val="Revision"/>
    <w:hidden/>
    <w:uiPriority w:val="99"/>
    <w:semiHidden/>
    <w:rPr>
      <w:sz w:val="24"/>
      <w:szCs w:val="24"/>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sz w:val="24"/>
      <w:szCs w:val="24"/>
    </w:rPr>
  </w:style>
  <w:style w:type="character" w:customStyle="1" w:styleId="Heading4Char">
    <w:name w:val="Heading 4 Char"/>
    <w:basedOn w:val="DefaultParagraphFont"/>
    <w:link w:val="Heading4"/>
    <w:semiHidden/>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3417">
      <w:bodyDiv w:val="1"/>
      <w:marLeft w:val="0"/>
      <w:marRight w:val="0"/>
      <w:marTop w:val="0"/>
      <w:marBottom w:val="0"/>
      <w:divBdr>
        <w:top w:val="none" w:sz="0" w:space="0" w:color="auto"/>
        <w:left w:val="none" w:sz="0" w:space="0" w:color="auto"/>
        <w:bottom w:val="none" w:sz="0" w:space="0" w:color="auto"/>
        <w:right w:val="none" w:sz="0" w:space="0" w:color="auto"/>
      </w:divBdr>
    </w:div>
    <w:div w:id="64572435">
      <w:bodyDiv w:val="1"/>
      <w:marLeft w:val="0"/>
      <w:marRight w:val="0"/>
      <w:marTop w:val="0"/>
      <w:marBottom w:val="0"/>
      <w:divBdr>
        <w:top w:val="none" w:sz="0" w:space="0" w:color="auto"/>
        <w:left w:val="none" w:sz="0" w:space="0" w:color="auto"/>
        <w:bottom w:val="none" w:sz="0" w:space="0" w:color="auto"/>
        <w:right w:val="none" w:sz="0" w:space="0" w:color="auto"/>
      </w:divBdr>
    </w:div>
    <w:div w:id="119421956">
      <w:bodyDiv w:val="1"/>
      <w:marLeft w:val="0"/>
      <w:marRight w:val="0"/>
      <w:marTop w:val="0"/>
      <w:marBottom w:val="0"/>
      <w:divBdr>
        <w:top w:val="none" w:sz="0" w:space="0" w:color="auto"/>
        <w:left w:val="none" w:sz="0" w:space="0" w:color="auto"/>
        <w:bottom w:val="none" w:sz="0" w:space="0" w:color="auto"/>
        <w:right w:val="none" w:sz="0" w:space="0" w:color="auto"/>
      </w:divBdr>
    </w:div>
    <w:div w:id="166019739">
      <w:bodyDiv w:val="1"/>
      <w:marLeft w:val="0"/>
      <w:marRight w:val="0"/>
      <w:marTop w:val="0"/>
      <w:marBottom w:val="0"/>
      <w:divBdr>
        <w:top w:val="none" w:sz="0" w:space="0" w:color="auto"/>
        <w:left w:val="none" w:sz="0" w:space="0" w:color="auto"/>
        <w:bottom w:val="none" w:sz="0" w:space="0" w:color="auto"/>
        <w:right w:val="none" w:sz="0" w:space="0" w:color="auto"/>
      </w:divBdr>
    </w:div>
    <w:div w:id="274561768">
      <w:bodyDiv w:val="1"/>
      <w:marLeft w:val="0"/>
      <w:marRight w:val="0"/>
      <w:marTop w:val="0"/>
      <w:marBottom w:val="0"/>
      <w:divBdr>
        <w:top w:val="none" w:sz="0" w:space="0" w:color="auto"/>
        <w:left w:val="none" w:sz="0" w:space="0" w:color="auto"/>
        <w:bottom w:val="none" w:sz="0" w:space="0" w:color="auto"/>
        <w:right w:val="none" w:sz="0" w:space="0" w:color="auto"/>
      </w:divBdr>
      <w:divsChild>
        <w:div w:id="2146508069">
          <w:marLeft w:val="0"/>
          <w:marRight w:val="0"/>
          <w:marTop w:val="0"/>
          <w:marBottom w:val="0"/>
          <w:divBdr>
            <w:top w:val="none" w:sz="0" w:space="0" w:color="auto"/>
            <w:left w:val="none" w:sz="0" w:space="0" w:color="auto"/>
            <w:bottom w:val="none" w:sz="0" w:space="0" w:color="auto"/>
            <w:right w:val="none" w:sz="0" w:space="0" w:color="auto"/>
          </w:divBdr>
        </w:div>
        <w:div w:id="521435678">
          <w:marLeft w:val="0"/>
          <w:marRight w:val="0"/>
          <w:marTop w:val="0"/>
          <w:marBottom w:val="0"/>
          <w:divBdr>
            <w:top w:val="none" w:sz="0" w:space="0" w:color="auto"/>
            <w:left w:val="none" w:sz="0" w:space="0" w:color="auto"/>
            <w:bottom w:val="none" w:sz="0" w:space="0" w:color="auto"/>
            <w:right w:val="none" w:sz="0" w:space="0" w:color="auto"/>
          </w:divBdr>
        </w:div>
      </w:divsChild>
    </w:div>
    <w:div w:id="323702023">
      <w:bodyDiv w:val="1"/>
      <w:marLeft w:val="0"/>
      <w:marRight w:val="0"/>
      <w:marTop w:val="0"/>
      <w:marBottom w:val="0"/>
      <w:divBdr>
        <w:top w:val="none" w:sz="0" w:space="0" w:color="auto"/>
        <w:left w:val="none" w:sz="0" w:space="0" w:color="auto"/>
        <w:bottom w:val="none" w:sz="0" w:space="0" w:color="auto"/>
        <w:right w:val="none" w:sz="0" w:space="0" w:color="auto"/>
      </w:divBdr>
    </w:div>
    <w:div w:id="337119932">
      <w:bodyDiv w:val="1"/>
      <w:marLeft w:val="0"/>
      <w:marRight w:val="0"/>
      <w:marTop w:val="0"/>
      <w:marBottom w:val="0"/>
      <w:divBdr>
        <w:top w:val="none" w:sz="0" w:space="0" w:color="auto"/>
        <w:left w:val="none" w:sz="0" w:space="0" w:color="auto"/>
        <w:bottom w:val="none" w:sz="0" w:space="0" w:color="auto"/>
        <w:right w:val="none" w:sz="0" w:space="0" w:color="auto"/>
      </w:divBdr>
    </w:div>
    <w:div w:id="432289468">
      <w:bodyDiv w:val="1"/>
      <w:marLeft w:val="0"/>
      <w:marRight w:val="0"/>
      <w:marTop w:val="0"/>
      <w:marBottom w:val="0"/>
      <w:divBdr>
        <w:top w:val="none" w:sz="0" w:space="0" w:color="auto"/>
        <w:left w:val="none" w:sz="0" w:space="0" w:color="auto"/>
        <w:bottom w:val="none" w:sz="0" w:space="0" w:color="auto"/>
        <w:right w:val="none" w:sz="0" w:space="0" w:color="auto"/>
      </w:divBdr>
    </w:div>
    <w:div w:id="497771363">
      <w:bodyDiv w:val="1"/>
      <w:marLeft w:val="0"/>
      <w:marRight w:val="0"/>
      <w:marTop w:val="0"/>
      <w:marBottom w:val="0"/>
      <w:divBdr>
        <w:top w:val="none" w:sz="0" w:space="0" w:color="auto"/>
        <w:left w:val="none" w:sz="0" w:space="0" w:color="auto"/>
        <w:bottom w:val="none" w:sz="0" w:space="0" w:color="auto"/>
        <w:right w:val="none" w:sz="0" w:space="0" w:color="auto"/>
      </w:divBdr>
    </w:div>
    <w:div w:id="577638231">
      <w:bodyDiv w:val="1"/>
      <w:marLeft w:val="0"/>
      <w:marRight w:val="0"/>
      <w:marTop w:val="0"/>
      <w:marBottom w:val="0"/>
      <w:divBdr>
        <w:top w:val="none" w:sz="0" w:space="0" w:color="auto"/>
        <w:left w:val="none" w:sz="0" w:space="0" w:color="auto"/>
        <w:bottom w:val="none" w:sz="0" w:space="0" w:color="auto"/>
        <w:right w:val="none" w:sz="0" w:space="0" w:color="auto"/>
      </w:divBdr>
    </w:div>
    <w:div w:id="634481261">
      <w:bodyDiv w:val="1"/>
      <w:marLeft w:val="0"/>
      <w:marRight w:val="0"/>
      <w:marTop w:val="0"/>
      <w:marBottom w:val="0"/>
      <w:divBdr>
        <w:top w:val="none" w:sz="0" w:space="0" w:color="auto"/>
        <w:left w:val="none" w:sz="0" w:space="0" w:color="auto"/>
        <w:bottom w:val="none" w:sz="0" w:space="0" w:color="auto"/>
        <w:right w:val="none" w:sz="0" w:space="0" w:color="auto"/>
      </w:divBdr>
    </w:div>
    <w:div w:id="641278475">
      <w:bodyDiv w:val="1"/>
      <w:marLeft w:val="0"/>
      <w:marRight w:val="0"/>
      <w:marTop w:val="0"/>
      <w:marBottom w:val="0"/>
      <w:divBdr>
        <w:top w:val="none" w:sz="0" w:space="0" w:color="auto"/>
        <w:left w:val="none" w:sz="0" w:space="0" w:color="auto"/>
        <w:bottom w:val="none" w:sz="0" w:space="0" w:color="auto"/>
        <w:right w:val="none" w:sz="0" w:space="0" w:color="auto"/>
      </w:divBdr>
    </w:div>
    <w:div w:id="654720898">
      <w:bodyDiv w:val="1"/>
      <w:marLeft w:val="0"/>
      <w:marRight w:val="0"/>
      <w:marTop w:val="0"/>
      <w:marBottom w:val="0"/>
      <w:divBdr>
        <w:top w:val="none" w:sz="0" w:space="0" w:color="auto"/>
        <w:left w:val="none" w:sz="0" w:space="0" w:color="auto"/>
        <w:bottom w:val="none" w:sz="0" w:space="0" w:color="auto"/>
        <w:right w:val="none" w:sz="0" w:space="0" w:color="auto"/>
      </w:divBdr>
    </w:div>
    <w:div w:id="666402707">
      <w:bodyDiv w:val="1"/>
      <w:marLeft w:val="0"/>
      <w:marRight w:val="0"/>
      <w:marTop w:val="0"/>
      <w:marBottom w:val="0"/>
      <w:divBdr>
        <w:top w:val="none" w:sz="0" w:space="0" w:color="auto"/>
        <w:left w:val="none" w:sz="0" w:space="0" w:color="auto"/>
        <w:bottom w:val="none" w:sz="0" w:space="0" w:color="auto"/>
        <w:right w:val="none" w:sz="0" w:space="0" w:color="auto"/>
      </w:divBdr>
    </w:div>
    <w:div w:id="709955045">
      <w:bodyDiv w:val="1"/>
      <w:marLeft w:val="0"/>
      <w:marRight w:val="0"/>
      <w:marTop w:val="0"/>
      <w:marBottom w:val="0"/>
      <w:divBdr>
        <w:top w:val="none" w:sz="0" w:space="0" w:color="auto"/>
        <w:left w:val="none" w:sz="0" w:space="0" w:color="auto"/>
        <w:bottom w:val="none" w:sz="0" w:space="0" w:color="auto"/>
        <w:right w:val="none" w:sz="0" w:space="0" w:color="auto"/>
      </w:divBdr>
    </w:div>
    <w:div w:id="712585205">
      <w:bodyDiv w:val="1"/>
      <w:marLeft w:val="0"/>
      <w:marRight w:val="0"/>
      <w:marTop w:val="0"/>
      <w:marBottom w:val="0"/>
      <w:divBdr>
        <w:top w:val="none" w:sz="0" w:space="0" w:color="auto"/>
        <w:left w:val="none" w:sz="0" w:space="0" w:color="auto"/>
        <w:bottom w:val="none" w:sz="0" w:space="0" w:color="auto"/>
        <w:right w:val="none" w:sz="0" w:space="0" w:color="auto"/>
      </w:divBdr>
    </w:div>
    <w:div w:id="954823659">
      <w:bodyDiv w:val="1"/>
      <w:marLeft w:val="0"/>
      <w:marRight w:val="0"/>
      <w:marTop w:val="0"/>
      <w:marBottom w:val="0"/>
      <w:divBdr>
        <w:top w:val="none" w:sz="0" w:space="0" w:color="auto"/>
        <w:left w:val="none" w:sz="0" w:space="0" w:color="auto"/>
        <w:bottom w:val="none" w:sz="0" w:space="0" w:color="auto"/>
        <w:right w:val="none" w:sz="0" w:space="0" w:color="auto"/>
      </w:divBdr>
    </w:div>
    <w:div w:id="1009717025">
      <w:bodyDiv w:val="1"/>
      <w:marLeft w:val="0"/>
      <w:marRight w:val="0"/>
      <w:marTop w:val="0"/>
      <w:marBottom w:val="0"/>
      <w:divBdr>
        <w:top w:val="none" w:sz="0" w:space="0" w:color="auto"/>
        <w:left w:val="none" w:sz="0" w:space="0" w:color="auto"/>
        <w:bottom w:val="none" w:sz="0" w:space="0" w:color="auto"/>
        <w:right w:val="none" w:sz="0" w:space="0" w:color="auto"/>
      </w:divBdr>
    </w:div>
    <w:div w:id="1050769011">
      <w:bodyDiv w:val="1"/>
      <w:marLeft w:val="0"/>
      <w:marRight w:val="0"/>
      <w:marTop w:val="0"/>
      <w:marBottom w:val="0"/>
      <w:divBdr>
        <w:top w:val="none" w:sz="0" w:space="0" w:color="auto"/>
        <w:left w:val="none" w:sz="0" w:space="0" w:color="auto"/>
        <w:bottom w:val="none" w:sz="0" w:space="0" w:color="auto"/>
        <w:right w:val="none" w:sz="0" w:space="0" w:color="auto"/>
      </w:divBdr>
    </w:div>
    <w:div w:id="1241602372">
      <w:bodyDiv w:val="1"/>
      <w:marLeft w:val="0"/>
      <w:marRight w:val="0"/>
      <w:marTop w:val="0"/>
      <w:marBottom w:val="0"/>
      <w:divBdr>
        <w:top w:val="none" w:sz="0" w:space="0" w:color="auto"/>
        <w:left w:val="none" w:sz="0" w:space="0" w:color="auto"/>
        <w:bottom w:val="none" w:sz="0" w:space="0" w:color="auto"/>
        <w:right w:val="none" w:sz="0" w:space="0" w:color="auto"/>
      </w:divBdr>
    </w:div>
    <w:div w:id="1294599477">
      <w:bodyDiv w:val="1"/>
      <w:marLeft w:val="0"/>
      <w:marRight w:val="0"/>
      <w:marTop w:val="0"/>
      <w:marBottom w:val="0"/>
      <w:divBdr>
        <w:top w:val="none" w:sz="0" w:space="0" w:color="auto"/>
        <w:left w:val="none" w:sz="0" w:space="0" w:color="auto"/>
        <w:bottom w:val="none" w:sz="0" w:space="0" w:color="auto"/>
        <w:right w:val="none" w:sz="0" w:space="0" w:color="auto"/>
      </w:divBdr>
    </w:div>
    <w:div w:id="1358852034">
      <w:bodyDiv w:val="1"/>
      <w:marLeft w:val="0"/>
      <w:marRight w:val="0"/>
      <w:marTop w:val="0"/>
      <w:marBottom w:val="0"/>
      <w:divBdr>
        <w:top w:val="none" w:sz="0" w:space="0" w:color="auto"/>
        <w:left w:val="none" w:sz="0" w:space="0" w:color="auto"/>
        <w:bottom w:val="none" w:sz="0" w:space="0" w:color="auto"/>
        <w:right w:val="none" w:sz="0" w:space="0" w:color="auto"/>
      </w:divBdr>
    </w:div>
    <w:div w:id="1456832128">
      <w:bodyDiv w:val="1"/>
      <w:marLeft w:val="0"/>
      <w:marRight w:val="0"/>
      <w:marTop w:val="0"/>
      <w:marBottom w:val="0"/>
      <w:divBdr>
        <w:top w:val="none" w:sz="0" w:space="0" w:color="auto"/>
        <w:left w:val="none" w:sz="0" w:space="0" w:color="auto"/>
        <w:bottom w:val="none" w:sz="0" w:space="0" w:color="auto"/>
        <w:right w:val="none" w:sz="0" w:space="0" w:color="auto"/>
      </w:divBdr>
    </w:div>
    <w:div w:id="1522167113">
      <w:bodyDiv w:val="1"/>
      <w:marLeft w:val="0"/>
      <w:marRight w:val="0"/>
      <w:marTop w:val="0"/>
      <w:marBottom w:val="0"/>
      <w:divBdr>
        <w:top w:val="none" w:sz="0" w:space="0" w:color="auto"/>
        <w:left w:val="none" w:sz="0" w:space="0" w:color="auto"/>
        <w:bottom w:val="none" w:sz="0" w:space="0" w:color="auto"/>
        <w:right w:val="none" w:sz="0" w:space="0" w:color="auto"/>
      </w:divBdr>
    </w:div>
    <w:div w:id="1742018510">
      <w:bodyDiv w:val="1"/>
      <w:marLeft w:val="0"/>
      <w:marRight w:val="0"/>
      <w:marTop w:val="0"/>
      <w:marBottom w:val="0"/>
      <w:divBdr>
        <w:top w:val="none" w:sz="0" w:space="0" w:color="auto"/>
        <w:left w:val="none" w:sz="0" w:space="0" w:color="auto"/>
        <w:bottom w:val="none" w:sz="0" w:space="0" w:color="auto"/>
        <w:right w:val="none" w:sz="0" w:space="0" w:color="auto"/>
      </w:divBdr>
    </w:div>
    <w:div w:id="1813407602">
      <w:bodyDiv w:val="1"/>
      <w:marLeft w:val="0"/>
      <w:marRight w:val="0"/>
      <w:marTop w:val="0"/>
      <w:marBottom w:val="0"/>
      <w:divBdr>
        <w:top w:val="none" w:sz="0" w:space="0" w:color="auto"/>
        <w:left w:val="none" w:sz="0" w:space="0" w:color="auto"/>
        <w:bottom w:val="none" w:sz="0" w:space="0" w:color="auto"/>
        <w:right w:val="none" w:sz="0" w:space="0" w:color="auto"/>
      </w:divBdr>
    </w:div>
    <w:div w:id="1862431504">
      <w:bodyDiv w:val="1"/>
      <w:marLeft w:val="0"/>
      <w:marRight w:val="0"/>
      <w:marTop w:val="0"/>
      <w:marBottom w:val="0"/>
      <w:divBdr>
        <w:top w:val="none" w:sz="0" w:space="0" w:color="auto"/>
        <w:left w:val="none" w:sz="0" w:space="0" w:color="auto"/>
        <w:bottom w:val="none" w:sz="0" w:space="0" w:color="auto"/>
        <w:right w:val="none" w:sz="0" w:space="0" w:color="auto"/>
      </w:divBdr>
    </w:div>
    <w:div w:id="1930314411">
      <w:bodyDiv w:val="1"/>
      <w:marLeft w:val="0"/>
      <w:marRight w:val="0"/>
      <w:marTop w:val="0"/>
      <w:marBottom w:val="0"/>
      <w:divBdr>
        <w:top w:val="none" w:sz="0" w:space="0" w:color="auto"/>
        <w:left w:val="none" w:sz="0" w:space="0" w:color="auto"/>
        <w:bottom w:val="none" w:sz="0" w:space="0" w:color="auto"/>
        <w:right w:val="none" w:sz="0" w:space="0" w:color="auto"/>
      </w:divBdr>
      <w:divsChild>
        <w:div w:id="780302482">
          <w:marLeft w:val="0"/>
          <w:marRight w:val="0"/>
          <w:marTop w:val="0"/>
          <w:marBottom w:val="0"/>
          <w:divBdr>
            <w:top w:val="none" w:sz="0" w:space="0" w:color="auto"/>
            <w:left w:val="none" w:sz="0" w:space="0" w:color="auto"/>
            <w:bottom w:val="none" w:sz="0" w:space="0" w:color="auto"/>
            <w:right w:val="none" w:sz="0" w:space="0" w:color="auto"/>
          </w:divBdr>
        </w:div>
        <w:div w:id="6991630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45499-C8CF-4364-A976-F22E74720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1484</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ỦY BAN NHÂN DÂN</vt:lpstr>
      <vt:lpstr>ỦY BAN NHÂN DÂN</vt:lpstr>
    </vt:vector>
  </TitlesOfParts>
  <Company>andongnhi.violet.vn</Company>
  <LinksUpToDate>false</LinksUpToDate>
  <CharactersWithSpaces>9924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VAIO</dc:creator>
  <cp:lastModifiedBy>Admin</cp:lastModifiedBy>
  <cp:revision>9</cp:revision>
  <cp:lastPrinted>2024-12-06T08:13:00Z</cp:lastPrinted>
  <dcterms:created xsi:type="dcterms:W3CDTF">2025-07-11T08:38:00Z</dcterms:created>
  <dcterms:modified xsi:type="dcterms:W3CDTF">2025-07-18T01:50:00Z</dcterms:modified>
</cp:coreProperties>
</file>